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51.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b303cbfc8eea33172418c47c8fc7d127980dc80"/>
    <w:p>
      <w:pPr>
        <w:pStyle w:val="Heading1"/>
      </w:pPr>
      <w:r>
        <w:t xml:space="preserve">Diseño Metodológico: Medición y Análisis del Ownership Landscape (2019–2024)</w:t>
      </w:r>
    </w:p>
    <w:p>
      <w:pPr>
        <w:pStyle w:val="FirstParagraph"/>
      </w:pPr>
      <w:r>
        <w:t xml:space="preserve">Este documento detalla la metodología cuantitativa empleada para la operacionalización, medición y análisis comparativo del constructo de</w:t>
      </w:r>
      <w:r>
        <w:t xml:space="preserve"> </w:t>
      </w:r>
      <w:r>
        <w:rPr>
          <w:b/>
          <w:bCs/>
        </w:rPr>
        <w:t xml:space="preserve">Ownership Landscape</w:t>
      </w:r>
      <w:r>
        <w:t xml:space="preserve"> </w:t>
      </w:r>
      <w:r>
        <w:t xml:space="preserve">(OL) en el fútbol de élite europeo. El enfoque se centra exclusivamente en la caracterización macro-configuracional de las ligas a través de indicadores de diversidad, concentración y la reducción dimensional del espacio de propiedad mediante Análisis de Componentes Principales (PCA).</w:t>
      </w:r>
    </w:p>
    <w:p>
      <w:r>
        <w:pict>
          <v:rect style="width:0;height:1.5pt" o:hralign="center" o:hrstd="t" o:hr="t"/>
        </w:pict>
      </w:r>
    </w:p>
    <w:bookmarkStart w:id="22" w:name="X991dec6bcfefc0de1dee4dbebe0c81d08d82fa8"/>
    <w:p>
      <w:pPr>
        <w:pStyle w:val="Heading2"/>
      </w:pPr>
      <w:r>
        <w:t xml:space="preserve">1. Diseño de Investigación y Unidad de Análisis</w:t>
      </w:r>
    </w:p>
    <w:p>
      <w:pPr>
        <w:pStyle w:val="FirstParagraph"/>
      </w:pPr>
      <w:r>
        <w:t xml:space="preserve">El estudio adopta un</w:t>
      </w:r>
      <w:r>
        <w:t xml:space="preserve"> </w:t>
      </w:r>
      <w:r>
        <w:rPr>
          <w:b/>
          <w:bCs/>
        </w:rPr>
        <w:t xml:space="preserve">diseño cuantitativo, longitudinal, comparativo y exploratorio</w:t>
      </w:r>
      <w:r>
        <w:t xml:space="preserve"> </w:t>
      </w:r>
      <w:r>
        <w:t xml:space="preserve">con el propósito de ofrecer una primera aproximación empírica y reproducible al concepto de</w:t>
      </w:r>
      <w:r>
        <w:t xml:space="preserve"> </w:t>
      </w:r>
      <w:r>
        <w:rPr>
          <w:i/>
          <w:iCs/>
        </w:rPr>
        <w:t xml:space="preserve">Ownership Landscape</w:t>
      </w:r>
      <w:r>
        <w:t xml:space="preserve">.</w:t>
      </w:r>
    </w:p>
    <w:bookmarkStart w:id="20" w:name="distinción-teórica-y-nivel-de-agregación"/>
    <w:p>
      <w:pPr>
        <w:pStyle w:val="Heading3"/>
      </w:pPr>
      <w:r>
        <w:t xml:space="preserve">Distinción Teórica y Nivel de Agregación</w:t>
      </w:r>
    </w:p>
    <w:p>
      <w:pPr>
        <w:pStyle w:val="FirstParagraph"/>
      </w:pPr>
      <w:r>
        <w:t xml:space="preserve">La premisa fundamental de este diseño es que el</w:t>
      </w:r>
      <w:r>
        <w:t xml:space="preserve"> </w:t>
      </w:r>
      <w:r>
        <w:rPr>
          <w:i/>
          <w:iCs/>
        </w:rPr>
        <w:t xml:space="preserve">Ownership Landscape</w:t>
      </w:r>
      <w:r>
        <w:t xml:space="preserve"> </w:t>
      </w:r>
      <w:r>
        <w:t xml:space="preserve">no es una propiedad individual de los clubes, sino una</w:t>
      </w:r>
      <w:r>
        <w:t xml:space="preserve"> </w:t>
      </w:r>
      <w:r>
        <w:rPr>
          <w:b/>
          <w:bCs/>
        </w:rPr>
        <w:t xml:space="preserve">propiedad emergente y colectiva del entorno competitivo</w:t>
      </w:r>
      <w:r>
        <w:t xml:space="preserve"> </w:t>
      </w:r>
      <w:r>
        <w:t xml:space="preserve">(la liga), en línea con la perspectiva de configuraciones organizacionales (Fiss, 2007). Por lo tanto:</w:t>
      </w:r>
    </w:p>
    <w:p>
      <w:pPr>
        <w:pStyle w:val="Compact"/>
        <w:numPr>
          <w:ilvl w:val="0"/>
          <w:numId w:val="1001"/>
        </w:numPr>
      </w:pPr>
      <w:r>
        <w:rPr>
          <w:b/>
          <w:bCs/>
        </w:rPr>
        <w:t xml:space="preserve">Unidad de recopilación de datos</w:t>
      </w:r>
      <w:r>
        <w:t xml:space="preserve">: El nivel de observación primario es el</w:t>
      </w:r>
      <w:r>
        <w:t xml:space="preserve"> </w:t>
      </w:r>
      <w:r>
        <w:rPr>
          <w:b/>
          <w:bCs/>
        </w:rPr>
        <w:t xml:space="preserve">club-temporada</w:t>
      </w:r>
      <w:r>
        <w:t xml:space="preserve"> </w:t>
      </w:r>
      <w:r>
        <w:t xml:space="preserve">(las características de propiedad y financieras de un club específico en un año determinado).</w:t>
      </w:r>
    </w:p>
    <w:p>
      <w:pPr>
        <w:pStyle w:val="Compact"/>
        <w:numPr>
          <w:ilvl w:val="0"/>
          <w:numId w:val="1001"/>
        </w:numPr>
      </w:pPr>
      <w:r>
        <w:rPr>
          <w:b/>
          <w:bCs/>
        </w:rPr>
        <w:t xml:space="preserve">Unidad de análisis</w:t>
      </w:r>
      <w:r>
        <w:t xml:space="preserve">: El nivel de agregación principal es la</w:t>
      </w:r>
      <w:r>
        <w:t xml:space="preserve"> </w:t>
      </w:r>
      <w:r>
        <w:rPr>
          <w:b/>
          <w:bCs/>
        </w:rPr>
        <w:t xml:space="preserve">liga-temporada</w:t>
      </w:r>
      <w:r>
        <w:t xml:space="preserve"> </w:t>
      </w:r>
      <w:r>
        <w:t xml:space="preserve">(la configuración conjunta que resulta de la distribución de modelos de propiedad dentro de una liga en un año determinado).</w:t>
      </w:r>
    </w:p>
    <w:bookmarkEnd w:id="20"/>
    <w:bookmarkStart w:id="21" w:name="X56662532f78eca8487273059dbccadb4e790d3e"/>
    <w:p>
      <w:pPr>
        <w:pStyle w:val="Heading3"/>
      </w:pPr>
      <w:r>
        <w:t xml:space="preserve">Herramientas de Análisis y su Función Colectiva</w:t>
      </w:r>
    </w:p>
    <w:p>
      <w:pPr>
        <w:pStyle w:val="FirstParagraph"/>
      </w:pPr>
      <w:r>
        <w:t xml:space="preserve">Para capturar las distintas dimensiones de esta estructura colectiva, se emplean tres herramientas matemáticas complementarias:</w:t>
      </w:r>
    </w:p>
    <w:p>
      <w:pPr>
        <w:pStyle w:val="Compact"/>
        <w:numPr>
          <w:ilvl w:val="0"/>
          <w:numId w:val="1002"/>
        </w:numPr>
      </w:pPr>
      <w:r>
        <w:rPr>
          <w:b/>
          <w:bCs/>
        </w:rPr>
        <w:t xml:space="preserve">Entropía de Shannon (</w:t>
      </w:r>
      <m:oMath>
        <m:r>
          <m:t>H</m:t>
        </m:r>
      </m:oMath>
      <w:r>
        <w:rPr>
          <w:b/>
          <w:bCs/>
        </w:rPr>
        <w:t xml:space="preserve">)</w:t>
      </w:r>
      <w:r>
        <w:t xml:space="preserve">: Mide el grado de</w:t>
      </w:r>
      <w:r>
        <w:t xml:space="preserve"> </w:t>
      </w:r>
      <w:r>
        <w:rPr>
          <w:b/>
          <w:bCs/>
        </w:rPr>
        <w:t xml:space="preserve">diversidad y equilibrio</w:t>
      </w:r>
      <w:r>
        <w:t xml:space="preserve"> </w:t>
      </w:r>
      <w:r>
        <w:t xml:space="preserve">del paisaje. Indica si coexisten múltiples lógicas de propiedad o si el sistema está dominado por pocas lógicas.</w:t>
      </w:r>
    </w:p>
    <w:p>
      <w:pPr>
        <w:pStyle w:val="Compact"/>
        <w:numPr>
          <w:ilvl w:val="0"/>
          <w:numId w:val="1002"/>
        </w:numPr>
      </w:pPr>
      <w:r>
        <w:rPr>
          <w:b/>
          <w:bCs/>
        </w:rPr>
        <w:t xml:space="preserve">Índice Herfindahl-Hirschman (HHI)</w:t>
      </w:r>
      <w:r>
        <w:t xml:space="preserve">: Mide el grado de</w:t>
      </w:r>
      <w:r>
        <w:t xml:space="preserve"> </w:t>
      </w:r>
      <w:r>
        <w:rPr>
          <w:b/>
          <w:bCs/>
        </w:rPr>
        <w:t xml:space="preserve">concentración</w:t>
      </w:r>
      <w:r>
        <w:t xml:space="preserve">. Permite evaluar la dominancia de modelos específicos y el nivel de homogeneidad del entorno.</w:t>
      </w:r>
    </w:p>
    <w:p>
      <w:pPr>
        <w:pStyle w:val="Compact"/>
        <w:numPr>
          <w:ilvl w:val="0"/>
          <w:numId w:val="1002"/>
        </w:numPr>
      </w:pPr>
      <w:r>
        <w:rPr>
          <w:b/>
          <w:bCs/>
        </w:rPr>
        <w:t xml:space="preserve">Análisis de Componentes Principales (PCA)</w:t>
      </w:r>
      <w:r>
        <w:t xml:space="preserve">: Permite proyectar la</w:t>
      </w:r>
      <w:r>
        <w:t xml:space="preserve"> </w:t>
      </w:r>
      <w:r>
        <w:rPr>
          <w:b/>
          <w:bCs/>
        </w:rPr>
        <w:t xml:space="preserve">configuración conjunta</w:t>
      </w:r>
      <w:r>
        <w:t xml:space="preserve"> </w:t>
      </w:r>
      <w:r>
        <w:t xml:space="preserve">(las proporciones simultáneas de todos los modelos de propiedad) en un espacio de baja dimensión (2D) para clasificar las ligas, rastrear trayectorias temporales y visualizar la distancia configuracional entre ellas.</w:t>
      </w:r>
    </w:p>
    <w:p>
      <w:pPr>
        <w:pStyle w:val="FirstParagraph"/>
      </w:pPr>
      <w:r>
        <w:t xml:space="preserve">Este diseño tiene un propósito estrictamente</w:t>
      </w:r>
      <w:r>
        <w:t xml:space="preserve"> </w:t>
      </w:r>
      <w:r>
        <w:rPr>
          <w:b/>
          <w:bCs/>
        </w:rPr>
        <w:t xml:space="preserve">metodológico y descriptivo</w:t>
      </w:r>
      <w:r>
        <w:t xml:space="preserve">. No busca establecer relaciones de causalidad definitivas ni validar de manera concluyente hipótesis predictivas complejas, sino proponer un marco estandarizado y reproducible para medir, comparar e historiar las estructuras de propiedad del fútbol contemporáneo.</w:t>
      </w:r>
    </w:p>
    <w:p>
      <w:r>
        <w:pict>
          <v:rect style="width:0;height:1.5pt" o:hralign="center" o:hrstd="t" o:hr="t"/>
        </w:pict>
      </w:r>
    </w:p>
    <w:bookmarkEnd w:id="21"/>
    <w:bookmarkEnd w:id="22"/>
    <w:bookmarkStart w:id="26" w:name="X7043ccfe081cfee9102e2ae1a2931e97774439f"/>
    <w:p>
      <w:pPr>
        <w:pStyle w:val="Heading2"/>
      </w:pPr>
      <w:r>
        <w:t xml:space="preserve">2. Contexto Empírico y Construcción de la Muestra</w:t>
      </w:r>
    </w:p>
    <w:bookmarkStart w:id="23" w:name="criterio-de-selección-de-ligas"/>
    <w:p>
      <w:pPr>
        <w:pStyle w:val="Heading3"/>
      </w:pPr>
      <w:r>
        <w:t xml:space="preserve">Criterio de Selección de Ligas</w:t>
      </w:r>
    </w:p>
    <w:p>
      <w:pPr>
        <w:pStyle w:val="FirstParagraph"/>
      </w:pPr>
      <w:r>
        <w:t xml:space="preserve">La muestra empírica comprende las primeras divisiones de las cinco grandes ligas del fútbol europeo (las</w:t>
      </w:r>
      <w:r>
        <w:t xml:space="preserve"> </w:t>
      </w:r>
      <w:r>
        <w:t xml:space="preserve">“</w:t>
      </w:r>
      <w:r>
        <w:rPr>
          <w:i/>
          <w:iCs/>
        </w:rPr>
        <w:t xml:space="preserve">Big Five</w:t>
      </w:r>
      <w:r>
        <w:t xml:space="preserve">”</w:t>
      </w:r>
      <w:r>
        <w:t xml:space="preserve">):</w:t>
      </w:r>
      <w:r>
        <w:t xml:space="preserve"> </w:t>
      </w:r>
      <w:r>
        <w:rPr>
          <w:b/>
          <w:bCs/>
        </w:rPr>
        <w:t xml:space="preserve">Bundesliga</w:t>
      </w:r>
      <w:r>
        <w:t xml:space="preserve"> </w:t>
      </w:r>
      <w:r>
        <w:t xml:space="preserve">(Alemania),</w:t>
      </w:r>
      <w:r>
        <w:t xml:space="preserve"> </w:t>
      </w:r>
      <w:r>
        <w:rPr>
          <w:b/>
          <w:bCs/>
        </w:rPr>
        <w:t xml:space="preserve">LaLiga</w:t>
      </w:r>
      <w:r>
        <w:t xml:space="preserve"> </w:t>
      </w:r>
      <w:r>
        <w:t xml:space="preserve">(España),</w:t>
      </w:r>
      <w:r>
        <w:t xml:space="preserve"> </w:t>
      </w:r>
      <w:r>
        <w:rPr>
          <w:b/>
          <w:bCs/>
        </w:rPr>
        <w:t xml:space="preserve">Ligue 1</w:t>
      </w:r>
      <w:r>
        <w:t xml:space="preserve"> </w:t>
      </w:r>
      <w:r>
        <w:t xml:space="preserve">(Francia),</w:t>
      </w:r>
      <w:r>
        <w:t xml:space="preserve"> </w:t>
      </w:r>
      <w:r>
        <w:rPr>
          <w:b/>
          <w:bCs/>
        </w:rPr>
        <w:t xml:space="preserve">Premier League</w:t>
      </w:r>
      <w:r>
        <w:t xml:space="preserve"> </w:t>
      </w:r>
      <w:r>
        <w:t xml:space="preserve">(Inglaterra) y</w:t>
      </w:r>
      <w:r>
        <w:t xml:space="preserve"> </w:t>
      </w:r>
      <w:r>
        <w:rPr>
          <w:b/>
          <w:bCs/>
        </w:rPr>
        <w:t xml:space="preserve">Serie A</w:t>
      </w:r>
      <w:r>
        <w:t xml:space="preserve"> </w:t>
      </w:r>
      <w:r>
        <w:t xml:space="preserve">(Italia). La selección de estos entornos se justifica bajo dos criterios:</w:t>
      </w:r>
    </w:p>
    <w:p>
      <w:pPr>
        <w:pStyle w:val="Compact"/>
        <w:numPr>
          <w:ilvl w:val="0"/>
          <w:numId w:val="1003"/>
        </w:numPr>
      </w:pPr>
      <w:r>
        <w:rPr>
          <w:b/>
          <w:bCs/>
        </w:rPr>
        <w:t xml:space="preserve">Relevancia económica e institucional</w:t>
      </w:r>
      <w:r>
        <w:t xml:space="preserve">: Representan el núcleo financiero y deportivo del fútbol global.</w:t>
      </w:r>
    </w:p>
    <w:p>
      <w:pPr>
        <w:pStyle w:val="Compact"/>
        <w:numPr>
          <w:ilvl w:val="0"/>
          <w:numId w:val="1003"/>
        </w:numPr>
      </w:pPr>
      <w:r>
        <w:rPr>
          <w:b/>
          <w:bCs/>
        </w:rPr>
        <w:t xml:space="preserve">Variación configuracional</w:t>
      </w:r>
      <w:r>
        <w:t xml:space="preserve">: Coexisten marcos regulatorios y tradicionales sumamente dispares, desde el proteccionismo de la regla del</w:t>
      </w:r>
      <w:r>
        <w:t xml:space="preserve"> </w:t>
      </w:r>
      <w:r>
        <w:t xml:space="preserve">“50+1”</w:t>
      </w:r>
      <w:r>
        <w:t xml:space="preserve"> </w:t>
      </w:r>
      <w:r>
        <w:t xml:space="preserve">en Alemania hasta la desregulación y financiarización extrema de la Premier League.</w:t>
      </w:r>
    </w:p>
    <w:bookmarkEnd w:id="23"/>
    <w:bookmarkStart w:id="24" w:name="ventana-temporal-2019-2024"/>
    <w:p>
      <w:pPr>
        <w:pStyle w:val="Heading3"/>
      </w:pPr>
      <w:r>
        <w:t xml:space="preserve">Ventana Temporal (2019-2024)</w:t>
      </w:r>
    </w:p>
    <w:p>
      <w:pPr>
        <w:pStyle w:val="FirstParagraph"/>
      </w:pPr>
      <w:r>
        <w:t xml:space="preserve">Se analiza el periodo de</w:t>
      </w:r>
      <w:r>
        <w:t xml:space="preserve"> </w:t>
      </w:r>
      <w:r>
        <w:rPr>
          <w:b/>
          <w:bCs/>
        </w:rPr>
        <w:t xml:space="preserve">6 temporadas completas</w:t>
      </w:r>
      <w:r>
        <w:t xml:space="preserve"> </w:t>
      </w:r>
      <w:r>
        <w:t xml:space="preserve">comprendido entre las temporadas</w:t>
      </w:r>
      <w:r>
        <w:t xml:space="preserve"> </w:t>
      </w:r>
      <w:r>
        <w:rPr>
          <w:b/>
          <w:bCs/>
        </w:rPr>
        <w:t xml:space="preserve">2019-2020 y 2024-2025</w:t>
      </w:r>
      <w:r>
        <w:t xml:space="preserve"> </w:t>
      </w:r>
      <w:r>
        <w:t xml:space="preserve">(identificadas en el estudio por su año de inicio como 2019 y 2024, respectivamente). Esta ventana temporal es idónea porque captura:</w:t>
      </w:r>
    </w:p>
    <w:p>
      <w:pPr>
        <w:pStyle w:val="Compact"/>
        <w:numPr>
          <w:ilvl w:val="0"/>
          <w:numId w:val="1004"/>
        </w:numPr>
      </w:pPr>
      <w:r>
        <w:t xml:space="preserve">La estabilidad y resistencia de modelos tradicionales frente a choques externos (COVID-19).</w:t>
      </w:r>
    </w:p>
    <w:p>
      <w:pPr>
        <w:pStyle w:val="Compact"/>
        <w:numPr>
          <w:ilvl w:val="0"/>
          <w:numId w:val="1004"/>
        </w:numPr>
      </w:pPr>
      <w:r>
        <w:t xml:space="preserve">La aceleración de procesos de transformación institucional, como la penetración de fondos de inversión privados internacionales y la consolidación de redes de multipropiedad (MCO).</w:t>
      </w:r>
    </w:p>
    <w:bookmarkEnd w:id="24"/>
    <w:bookmarkStart w:id="25" w:name="construcción-del-panel-dinámico"/>
    <w:p>
      <w:pPr>
        <w:pStyle w:val="Heading3"/>
      </w:pPr>
      <w:r>
        <w:t xml:space="preserve">Construcción del Panel Dinámico</w:t>
      </w:r>
    </w:p>
    <w:p>
      <w:pPr>
        <w:pStyle w:val="FirstParagraph"/>
      </w:pPr>
      <w:r>
        <w:t xml:space="preserve">Para reflejar fielmente la estructura real del mercado de cada temporada, el panel se construye de forma</w:t>
      </w:r>
      <w:r>
        <w:t xml:space="preserve"> </w:t>
      </w:r>
      <w:r>
        <w:rPr>
          <w:b/>
          <w:bCs/>
        </w:rPr>
        <w:t xml:space="preserve">dinámica</w:t>
      </w:r>
      <w:r>
        <w:t xml:space="preserve"> </w:t>
      </w:r>
      <w:r>
        <w:t xml:space="preserve">y no estática. Se identifican los clubes que participaron efectivamente en la primera división de cada liga en cada temporada concreta. Esto implica:</w:t>
      </w:r>
    </w:p>
    <w:p>
      <w:pPr>
        <w:pStyle w:val="Compact"/>
        <w:numPr>
          <w:ilvl w:val="0"/>
          <w:numId w:val="1005"/>
        </w:numPr>
      </w:pPr>
      <w:r>
        <w:rPr>
          <w:b/>
          <w:bCs/>
        </w:rPr>
        <w:t xml:space="preserve">Inclusión de ascensos y exclusión de descensos</w:t>
      </w:r>
      <w:r>
        <w:t xml:space="preserve">: Cada año, la muestra de clubes varía para cada liga, reflejando el impacto de la rotación deportiva sobre el landscape macro.</w:t>
      </w:r>
    </w:p>
    <w:p>
      <w:pPr>
        <w:pStyle w:val="Compact"/>
        <w:numPr>
          <w:ilvl w:val="0"/>
          <w:numId w:val="1005"/>
        </w:numPr>
      </w:pPr>
      <w:r>
        <w:rPr>
          <w:b/>
          <w:bCs/>
        </w:rPr>
        <w:t xml:space="preserve">Armonización de registros</w:t>
      </w:r>
      <w:r>
        <w:t xml:space="preserve">: Se realiza un emparejamiento algorítmico y manual de los nombres de los clubes de las bases de datos de partidos oficiales de la liga con sus respectivos identificadores financieros y registros societarios.</w:t>
      </w:r>
    </w:p>
    <w:p>
      <w:pPr>
        <w:pStyle w:val="Compact"/>
        <w:numPr>
          <w:ilvl w:val="0"/>
          <w:numId w:val="1005"/>
        </w:numPr>
      </w:pPr>
      <w:r>
        <w:rPr>
          <w:b/>
          <w:bCs/>
        </w:rPr>
        <w:t xml:space="preserve">Integración</w:t>
      </w:r>
      <w:r>
        <w:t xml:space="preserve">: Se asocia cada observación club-temporada con su clasificación de propiedad correspondiente para ese año.</w:t>
      </w:r>
    </w:p>
    <w:p>
      <w:pPr>
        <w:pStyle w:val="FirstParagraph"/>
      </w:pPr>
      <w:r>
        <w:t xml:space="preserve">La muestra final resultante del panel comprende:</w:t>
      </w:r>
    </w:p>
    <w:p>
      <w:pPr>
        <w:pStyle w:val="Compact"/>
        <w:numPr>
          <w:ilvl w:val="0"/>
          <w:numId w:val="1006"/>
        </w:numPr>
      </w:pPr>
      <w:r>
        <w:rPr>
          <w:b/>
          <w:bCs/>
        </w:rPr>
        <w:t xml:space="preserve">137 clubes únicos</w:t>
      </w:r>
      <w:r>
        <w:t xml:space="preserve">.</w:t>
      </w:r>
    </w:p>
    <w:p>
      <w:pPr>
        <w:pStyle w:val="Compact"/>
        <w:numPr>
          <w:ilvl w:val="0"/>
          <w:numId w:val="1006"/>
        </w:numPr>
      </w:pPr>
      <w:r>
        <w:rPr>
          <w:b/>
          <w:bCs/>
        </w:rPr>
        <w:t xml:space="preserve">584 observaciones a nivel club-temporada</w:t>
      </w:r>
      <w:r>
        <w:t xml:space="preserve"> </w:t>
      </w:r>
      <w:r>
        <w:t xml:space="preserve">(utilizadas para caracterizar el comportamiento micro y las distribuciones de base).</w:t>
      </w:r>
    </w:p>
    <w:p>
      <w:pPr>
        <w:pStyle w:val="Compact"/>
        <w:numPr>
          <w:ilvl w:val="0"/>
          <w:numId w:val="1006"/>
        </w:numPr>
      </w:pPr>
      <w:r>
        <w:rPr>
          <w:b/>
          <w:bCs/>
        </w:rPr>
        <w:t xml:space="preserve">30 observaciones a nivel liga-temporada</w:t>
      </w:r>
      <w:r>
        <w:t xml:space="preserve"> </w:t>
      </w:r>
      <w:r>
        <w:t xml:space="preserve">(las 30 configuraciones macro analizadas: 5 ligas</w:t>
      </w:r>
      <w:r>
        <w:t xml:space="preserve"> </w:t>
      </w:r>
      <m:oMath>
        <m:r>
          <m:rPr>
            <m:sty m:val="p"/>
          </m:rPr>
          <m:t>×</m:t>
        </m:r>
      </m:oMath>
      <w:r>
        <w:t xml:space="preserve"> </w:t>
      </w:r>
      <w:r>
        <w:t xml:space="preserve">6 años/temporadas de transición entre 2019 y 2024).</w:t>
      </w:r>
    </w:p>
    <w:p>
      <w:pPr>
        <w:pStyle w:val="FirstParagraph"/>
      </w:pPr>
      <w:r>
        <w:rPr>
          <w:i/>
          <w:iCs/>
        </w:rPr>
        <w:t xml:space="preserve">Nota sobre la referencia temporal</w:t>
      </w:r>
      <w:r>
        <w:t xml:space="preserve">: El momento de referencia para determinar la estructura de propiedad de un club en una temporada dada es el</w:t>
      </w:r>
      <w:r>
        <w:t xml:space="preserve"> </w:t>
      </w:r>
      <w:r>
        <w:rPr>
          <w:b/>
          <w:bCs/>
        </w:rPr>
        <w:t xml:space="preserve">cierre del mercado de transferencias de verano</w:t>
      </w:r>
      <w:r>
        <w:t xml:space="preserve"> </w:t>
      </w:r>
      <w:r>
        <w:t xml:space="preserve">(agosto/septiembre) de la temporada correspondiente, ya que este hito fija la planificación y el capital disponible para el ciclo anual competitivo.</w:t>
      </w:r>
    </w:p>
    <w:p>
      <w:r>
        <w:pict>
          <v:rect style="width:0;height:1.5pt" o:hralign="center" o:hrstd="t" o:hr="t"/>
        </w:pict>
      </w:r>
    </w:p>
    <w:bookmarkEnd w:id="25"/>
    <w:bookmarkEnd w:id="26"/>
    <w:bookmarkStart w:id="31" w:name="X3de2caacd26002908a7f7403cd3f0ec53eff84b"/>
    <w:p>
      <w:pPr>
        <w:pStyle w:val="Heading2"/>
      </w:pPr>
      <w:r>
        <w:t xml:space="preserve">3. Fuentes de Datos y Clasificación de la Propiedad</w:t>
      </w:r>
    </w:p>
    <w:bookmarkStart w:id="27" w:name="fuentes-de-información-societaria"/>
    <w:p>
      <w:pPr>
        <w:pStyle w:val="Heading3"/>
      </w:pPr>
      <w:r>
        <w:t xml:space="preserve">Fuentes de Información Societaria</w:t>
      </w:r>
    </w:p>
    <w:p>
      <w:pPr>
        <w:pStyle w:val="FirstParagraph"/>
      </w:pPr>
      <w:r>
        <w:t xml:space="preserve">Para identificar al propietario último (</w:t>
      </w:r>
      <w:r>
        <w:rPr>
          <w:i/>
          <w:iCs/>
        </w:rPr>
        <w:t xml:space="preserve">Ultimate Beneficial Owner - UBO</w:t>
      </w:r>
      <w:r>
        <w:t xml:space="preserve">) o a la entidad jurídica que ejerce el control de voto efectivo (mayor al 50% o control de gestión pactado) en cada observación de club-temporada, se recopilaron y triangularon datos de las siguientes fuentes:</w:t>
      </w:r>
    </w:p>
    <w:p>
      <w:pPr>
        <w:pStyle w:val="Compact"/>
        <w:numPr>
          <w:ilvl w:val="0"/>
          <w:numId w:val="1007"/>
        </w:numPr>
      </w:pPr>
      <w:r>
        <w:t xml:space="preserve">Documentos societarios oficiales y registros mercantiles nacionales (ej.</w:t>
      </w:r>
      <w:r>
        <w:t xml:space="preserve"> </w:t>
      </w:r>
      <w:r>
        <w:rPr>
          <w:i/>
          <w:iCs/>
        </w:rPr>
        <w:t xml:space="preserve">Companies House</w:t>
      </w:r>
      <w:r>
        <w:t xml:space="preserve"> </w:t>
      </w:r>
      <w:r>
        <w:t xml:space="preserve">en el Reino Unido,</w:t>
      </w:r>
      <w:r>
        <w:t xml:space="preserve"> </w:t>
      </w:r>
      <w:r>
        <w:rPr>
          <w:i/>
          <w:iCs/>
        </w:rPr>
        <w:t xml:space="preserve">Infogreffe</w:t>
      </w:r>
      <w:r>
        <w:t xml:space="preserve"> </w:t>
      </w:r>
      <w:r>
        <w:t xml:space="preserve">en Francia).</w:t>
      </w:r>
    </w:p>
    <w:p>
      <w:pPr>
        <w:pStyle w:val="Compact"/>
        <w:numPr>
          <w:ilvl w:val="0"/>
          <w:numId w:val="1007"/>
        </w:numPr>
      </w:pPr>
      <w:r>
        <w:t xml:space="preserve">Informes financieros anuales de los clubes e informes de gobernanza de las federaciones nacionales (ej. informes de la DNCG en Francia, resoluciones del Consejo Superior de Deportes en España).</w:t>
      </w:r>
    </w:p>
    <w:p>
      <w:pPr>
        <w:pStyle w:val="Compact"/>
        <w:numPr>
          <w:ilvl w:val="0"/>
          <w:numId w:val="1007"/>
        </w:numPr>
      </w:pPr>
      <w:r>
        <w:t xml:space="preserve">Páginas oficiales de los clubes y comunicados de prensa corporativos de los grupos inversores.</w:t>
      </w:r>
    </w:p>
    <w:p>
      <w:pPr>
        <w:pStyle w:val="Compact"/>
        <w:numPr>
          <w:ilvl w:val="0"/>
          <w:numId w:val="1007"/>
        </w:numPr>
      </w:pPr>
      <w:r>
        <w:t xml:space="preserve">Bases de datos especializadas en finanzas del fútbol (ej.</w:t>
      </w:r>
      <w:r>
        <w:t xml:space="preserve"> </w:t>
      </w:r>
      <w:r>
        <w:rPr>
          <w:i/>
          <w:iCs/>
        </w:rPr>
        <w:t xml:space="preserve">UEFA Club Licensing reports</w:t>
      </w:r>
      <w:r>
        <w:t xml:space="preserve">) y registros periodísticos de reputación contrastada (ej.</w:t>
      </w:r>
      <w:r>
        <w:t xml:space="preserve"> </w:t>
      </w:r>
      <w:r>
        <w:rPr>
          <w:i/>
          <w:iCs/>
        </w:rPr>
        <w:t xml:space="preserve">The Athletic</w:t>
      </w:r>
      <w:r>
        <w:t xml:space="preserve">,</w:t>
      </w:r>
      <w:r>
        <w:t xml:space="preserve"> </w:t>
      </w:r>
      <w:r>
        <w:rPr>
          <w:i/>
          <w:iCs/>
        </w:rPr>
        <w:t xml:space="preserve">Off The Pitch</w:t>
      </w:r>
      <w:r>
        <w:t xml:space="preserve">,</w:t>
      </w:r>
      <w:r>
        <w:t xml:space="preserve"> </w:t>
      </w:r>
      <w:r>
        <w:rPr>
          <w:i/>
          <w:iCs/>
        </w:rPr>
        <w:t xml:space="preserve">Bloomberg</w:t>
      </w:r>
      <w:r>
        <w:t xml:space="preserve">).</w:t>
      </w:r>
    </w:p>
    <w:bookmarkEnd w:id="27"/>
    <w:bookmarkStart w:id="28" w:name="taxonomía-de-modelos-de-propiedad"/>
    <w:p>
      <w:pPr>
        <w:pStyle w:val="Heading3"/>
      </w:pPr>
      <w:r>
        <w:t xml:space="preserve">Taxonomía de Modelos de Propiedad</w:t>
      </w:r>
    </w:p>
    <w:p>
      <w:pPr>
        <w:pStyle w:val="FirstParagraph"/>
      </w:pPr>
      <w:r>
        <w:t xml:space="preserve">Para clasificar y analizar los modelos de propiedad en el fútbol contemporáneo, se adopta una taxonomía adaptada de los informes financieros de la UEFA (2024) y de la literatura especializada sobre gobernanza y economía del deporte (ej., Nauright &amp; Ramfjord, 2010; Storm &amp; Nielsen, 2012). Se emplea una clasificación de</w:t>
      </w:r>
      <w:r>
        <w:t xml:space="preserve"> </w:t>
      </w:r>
      <w:r>
        <w:rPr>
          <w:b/>
          <w:bCs/>
        </w:rPr>
        <w:t xml:space="preserve">7 categorías sustantivas</w:t>
      </w:r>
      <w:r>
        <w:t xml:space="preserve"> </w:t>
      </w:r>
      <w:r>
        <w:t xml:space="preserve">basadas en el control mayoritario o decisivo:</w:t>
      </w:r>
    </w:p>
    <w:p>
      <w:pPr>
        <w:pStyle w:val="Compact"/>
        <w:numPr>
          <w:ilvl w:val="0"/>
          <w:numId w:val="1008"/>
        </w:numPr>
      </w:pPr>
      <w:r>
        <w:rPr>
          <w:b/>
          <w:bCs/>
        </w:rPr>
        <w:t xml:space="preserve">Member-owned (Democrático/Socios)</w:t>
      </w:r>
      <w:r>
        <w:t xml:space="preserve">: Clubes controlados democráticamente por sus socios bajo el principio de</w:t>
      </w:r>
      <w:r>
        <w:t xml:space="preserve"> </w:t>
      </w:r>
      <w:r>
        <w:t xml:space="preserve">“un socio, un voto”</w:t>
      </w:r>
      <w:r>
        <w:t xml:space="preserve"> </w:t>
      </w:r>
      <w:r>
        <w:t xml:space="preserve">(ej. Real Madrid, FC Bayern München).</w:t>
      </w:r>
    </w:p>
    <w:p>
      <w:pPr>
        <w:pStyle w:val="Compact"/>
        <w:numPr>
          <w:ilvl w:val="0"/>
          <w:numId w:val="1008"/>
        </w:numPr>
      </w:pPr>
      <w:r>
        <w:rPr>
          <w:b/>
          <w:bCs/>
        </w:rPr>
        <w:t xml:space="preserve">Domestic private (Privado Nacional)</w:t>
      </w:r>
      <w:r>
        <w:t xml:space="preserve">: Controlado por una persona física, familia o empresa de origen local/nacional (ej. el modelo tradicional de empresario local).</w:t>
      </w:r>
    </w:p>
    <w:p>
      <w:pPr>
        <w:pStyle w:val="Compact"/>
        <w:numPr>
          <w:ilvl w:val="0"/>
          <w:numId w:val="1008"/>
        </w:numPr>
      </w:pPr>
      <w:r>
        <w:rPr>
          <w:b/>
          <w:bCs/>
        </w:rPr>
        <w:t xml:space="preserve">Foreign private (Privado Extranjero)</w:t>
      </w:r>
      <w:r>
        <w:t xml:space="preserve">: Controlado por un empresario o consorcio familiar extranjero no clasificado como fondo financiero (ej. la familia Glazer en el Manchester United pre-2024).</w:t>
      </w:r>
    </w:p>
    <w:p>
      <w:pPr>
        <w:pStyle w:val="Compact"/>
        <w:numPr>
          <w:ilvl w:val="0"/>
          <w:numId w:val="1008"/>
        </w:numPr>
      </w:pPr>
      <w:r>
        <w:rPr>
          <w:b/>
          <w:bCs/>
        </w:rPr>
        <w:t xml:space="preserve">Investment fund (Fondo de Inversión)</w:t>
      </w:r>
      <w:r>
        <w:t xml:space="preserve">: Controlado por firmas de capital riesgo, fondos de cobertura, fondos de pensiones o vehículos de inversión financiera institucional cuyo objetivo primario es el retorno financiero o la revalorización de activos (ej. RedBird Capital en el AC Milan, Oaktree en el Inter).</w:t>
      </w:r>
    </w:p>
    <w:p>
      <w:pPr>
        <w:pStyle w:val="Compact"/>
        <w:numPr>
          <w:ilvl w:val="0"/>
          <w:numId w:val="1008"/>
        </w:numPr>
      </w:pPr>
      <w:r>
        <w:rPr>
          <w:b/>
          <w:bCs/>
        </w:rPr>
        <w:t xml:space="preserve">Hybrid (Híbrido)</w:t>
      </w:r>
      <w:r>
        <w:t xml:space="preserve">: Estructuras con cotización en bolsa o reparto estatutario donde coexisten de manera formal el control social de los socios y la inversión de socios comerciales minoritarios pero influyentes (ej. Borussia Dortmund, donde conviven el club de socios y patrocinadores como Evonik o Puma).</w:t>
      </w:r>
    </w:p>
    <w:p>
      <w:pPr>
        <w:pStyle w:val="Compact"/>
        <w:numPr>
          <w:ilvl w:val="0"/>
          <w:numId w:val="1008"/>
        </w:numPr>
      </w:pPr>
      <w:r>
        <w:rPr>
          <w:b/>
          <w:bCs/>
        </w:rPr>
        <w:t xml:space="preserve">Corporate-MCO (Corporativo Multipropiedad)</w:t>
      </w:r>
      <w:r>
        <w:t xml:space="preserve">: Clubes integrados formalmente dentro de redes corporativas transnacionales especializadas en la multipropiedad deportiva, donde el club opera bajo sinergias de grupo (ej. Manchester City bajo el City Football Group, RB Leipzig bajo Red Bull).</w:t>
      </w:r>
    </w:p>
    <w:p>
      <w:pPr>
        <w:pStyle w:val="Compact"/>
        <w:numPr>
          <w:ilvl w:val="0"/>
          <w:numId w:val="1008"/>
        </w:numPr>
      </w:pPr>
      <w:r>
        <w:rPr>
          <w:b/>
          <w:bCs/>
        </w:rPr>
        <w:t xml:space="preserve">State-linked (Vinculado a Estado)</w:t>
      </w:r>
      <w:r>
        <w:t xml:space="preserve">: Clubes bajo el control efectivo de corporaciones estatales, fondos soberanos o vehículos de inversión vinculados directamente a gobiernos nacionales (ej. Paris Saint-Germain bajo Qatar Sports Investments, Newcastle United bajo el PIF saudí).</w:t>
      </w:r>
    </w:p>
    <w:bookmarkEnd w:id="28"/>
    <w:bookmarkStart w:id="29" w:name="X214f61fedd5305a53767d309cef871ddc64a8b8"/>
    <w:p>
      <w:pPr>
        <w:pStyle w:val="Heading3"/>
      </w:pPr>
      <w:r>
        <w:t xml:space="preserve">Tratamiento de Casos Especiales y del Libro de Códigos</w:t>
      </w:r>
    </w:p>
    <w:p>
      <w:pPr>
        <w:pStyle w:val="FirstParagraph"/>
      </w:pPr>
      <w:r>
        <w:t xml:space="preserve">Para garantizar la consistencia, la clasificación se rige por un</w:t>
      </w:r>
      <w:r>
        <w:t xml:space="preserve"> </w:t>
      </w:r>
      <w:r>
        <w:rPr>
          <w:b/>
          <w:bCs/>
        </w:rPr>
        <w:t xml:space="preserve">libro de códigos metodológico</w:t>
      </w:r>
      <w:r>
        <w:t xml:space="preserve"> </w:t>
      </w:r>
      <w:r>
        <w:t xml:space="preserve">que define reglas claras ante ambigüedades:</w:t>
      </w:r>
    </w:p>
    <w:p>
      <w:pPr>
        <w:pStyle w:val="Compact"/>
        <w:numPr>
          <w:ilvl w:val="0"/>
          <w:numId w:val="1009"/>
        </w:numPr>
      </w:pPr>
      <w:r>
        <w:rPr>
          <w:b/>
          <w:bCs/>
        </w:rPr>
        <w:t xml:space="preserve">Consorcios e inversores múltiples</w:t>
      </w:r>
      <w:r>
        <w:t xml:space="preserve">: Se clasifica según el socio mayoritario de control o el vehículo gestor líder.</w:t>
      </w:r>
    </w:p>
    <w:p>
      <w:pPr>
        <w:pStyle w:val="Compact"/>
        <w:numPr>
          <w:ilvl w:val="0"/>
          <w:numId w:val="1009"/>
        </w:numPr>
      </w:pPr>
      <w:r>
        <w:rPr>
          <w:b/>
          <w:bCs/>
        </w:rPr>
        <w:t xml:space="preserve">Propiedad dispersa / Cotizadas</w:t>
      </w:r>
      <w:r>
        <w:t xml:space="preserve">: Se clasifica como</w:t>
      </w:r>
      <w:r>
        <w:t xml:space="preserve"> </w:t>
      </w:r>
      <w:r>
        <w:rPr>
          <w:i/>
          <w:iCs/>
        </w:rPr>
        <w:t xml:space="preserve">domestic/foreign private</w:t>
      </w:r>
      <w:r>
        <w:t xml:space="preserve"> </w:t>
      </w:r>
      <w:r>
        <w:t xml:space="preserve">o</w:t>
      </w:r>
      <w:r>
        <w:t xml:space="preserve"> </w:t>
      </w:r>
      <w:r>
        <w:rPr>
          <w:i/>
          <w:iCs/>
        </w:rPr>
        <w:t xml:space="preserve">investment fund</w:t>
      </w:r>
      <w:r>
        <w:t xml:space="preserve"> </w:t>
      </w:r>
      <w:r>
        <w:t xml:space="preserve">según la naturaleza del bloque de control que domina el consejo de administración.</w:t>
      </w:r>
    </w:p>
    <w:p>
      <w:pPr>
        <w:pStyle w:val="Compact"/>
        <w:numPr>
          <w:ilvl w:val="0"/>
          <w:numId w:val="1009"/>
        </w:numPr>
      </w:pPr>
      <w:r>
        <w:rPr>
          <w:b/>
          <w:bCs/>
        </w:rPr>
        <w:t xml:space="preserve">Naturaleza estática del modelo por club</w:t>
      </w:r>
      <w:r>
        <w:t xml:space="preserve">: En el panel analizado, la clasificación de propiedad de cada club se mantiene constante a lo largo de las temporadas del estudio (representando su modelo de control consolidado). Por lo tanto, la variación interanual del Ownership Landscape a nivel de liga está determinada exclusivamente por la rotación deportiva (ascensos y descensos de equipos entre la primera y la segunda división), y no por cambios transaccionales de propietario dentro de un mismo club durante el periodo analizado.</w:t>
      </w:r>
    </w:p>
    <w:bookmarkEnd w:id="29"/>
    <w:bookmarkStart w:id="30" w:name="tratamiento-de-la-categoría-unknown"/>
    <w:p>
      <w:pPr>
        <w:pStyle w:val="Heading3"/>
      </w:pPr>
      <w:r>
        <w:t xml:space="preserve">Tratamiento de la Categoría</w:t>
      </w:r>
      <w:r>
        <w:t xml:space="preserve"> </w:t>
      </w:r>
      <w:r>
        <w:t xml:space="preserve">“Unknown”</w:t>
      </w:r>
    </w:p>
    <w:p>
      <w:pPr>
        <w:pStyle w:val="FirstParagraph"/>
      </w:pPr>
      <w:r>
        <w:t xml:space="preserve">La categoría</w:t>
      </w:r>
      <w:r>
        <w:t xml:space="preserve"> </w:t>
      </w:r>
      <w:r>
        <w:rPr>
          <w:b/>
          <w:bCs/>
        </w:rPr>
        <w:t xml:space="preserve">Unknown</w:t>
      </w:r>
      <w:r>
        <w:t xml:space="preserve"> </w:t>
      </w:r>
      <w:r>
        <w:t xml:space="preserve">representa los casos de información no resuelta (ej. estructuras de fideicomisos opacos, capas de sociedades instrumentales no declaradas o datos faltantes). Metodológicamente:</w:t>
      </w:r>
    </w:p>
    <w:p>
      <w:pPr>
        <w:pStyle w:val="Compact"/>
        <w:numPr>
          <w:ilvl w:val="0"/>
          <w:numId w:val="1010"/>
        </w:numPr>
      </w:pPr>
      <w:r>
        <w:rPr>
          <w:b/>
          <w:bCs/>
        </w:rPr>
        <w:t xml:space="preserve">No se trata como un modelo de propiedad sustantivo</w:t>
      </w:r>
      <w:r>
        <w:t xml:space="preserve">, sino como ruido de información.</w:t>
      </w:r>
    </w:p>
    <w:p>
      <w:pPr>
        <w:pStyle w:val="Compact"/>
        <w:numPr>
          <w:ilvl w:val="0"/>
          <w:numId w:val="1010"/>
        </w:numPr>
      </w:pPr>
      <w:r>
        <w:t xml:space="preserve">Para el análisis del landscape, su proporción se registra de manera transparente a nivel descriptivo.</w:t>
      </w:r>
    </w:p>
    <w:p>
      <w:pPr>
        <w:pStyle w:val="Compact"/>
        <w:numPr>
          <w:ilvl w:val="0"/>
          <w:numId w:val="1010"/>
        </w:numPr>
      </w:pPr>
      <w:r>
        <w:t xml:space="preserve">En los análisis configuracionales (PCA) y de diversidad (Shannon y HHI), se evalúa la sensibilidad del modelo mediante dos vías: la exclusión y re-normalización frente a la inclusión directa. En nuestra muestra, su prevalencia es marginal (promedio del</w:t>
      </w:r>
      <w:r>
        <w:t xml:space="preserve"> </w:t>
      </w:r>
      <m:oMath>
        <m:r>
          <m:t>1.74</m:t>
        </m:r>
        <m:r>
          <m:rPr>
            <m:sty m:val="p"/>
          </m:rPr>
          <m:t>%</m:t>
        </m:r>
      </m:oMath>
      <w:r>
        <w:t xml:space="preserve"> </w:t>
      </w:r>
      <w:r>
        <w:t xml:space="preserve">de la muestra, con un máximo del</w:t>
      </w:r>
      <w:r>
        <w:t xml:space="preserve"> </w:t>
      </w:r>
      <m:oMath>
        <m:r>
          <m:t>10</m:t>
        </m:r>
        <m:r>
          <m:rPr>
            <m:sty m:val="p"/>
          </m:rPr>
          <m:t>%</m:t>
        </m:r>
      </m:oMath>
      <w:r>
        <w:t xml:space="preserve"> </w:t>
      </w:r>
      <w:r>
        <w:t xml:space="preserve">en observaciones puntuales), por lo que su inclusión no distorsiona los componentes sustantivos.</w:t>
      </w:r>
    </w:p>
    <w:p>
      <w:r>
        <w:pict>
          <v:rect style="width:0;height:1.5pt" o:hralign="center" o:hrstd="t" o:hr="t"/>
        </w:pict>
      </w:r>
    </w:p>
    <w:bookmarkEnd w:id="30"/>
    <w:bookmarkEnd w:id="31"/>
    <w:bookmarkStart w:id="38" w:name="construcción-del-ownership-landscape-ol"/>
    <w:p>
      <w:pPr>
        <w:pStyle w:val="Heading2"/>
      </w:pPr>
      <w:r>
        <w:t xml:space="preserve">4. Construcción del Ownership Landscape (OL)</w:t>
      </w:r>
    </w:p>
    <w:p>
      <w:pPr>
        <w:pStyle w:val="FirstParagraph"/>
      </w:pPr>
      <w:r>
        <w:t xml:space="preserve">El paso de la clasificación individual de los clubes a la escala agregada de la liga se realiza mediante el cálculo de las</w:t>
      </w:r>
      <w:r>
        <w:t xml:space="preserve"> </w:t>
      </w:r>
      <w:r>
        <w:rPr>
          <w:b/>
          <w:bCs/>
        </w:rPr>
        <w:t xml:space="preserve">proporciones composicionales</w:t>
      </w:r>
      <w:r>
        <w:t xml:space="preserve">.</w:t>
      </w:r>
    </w:p>
    <w:p>
      <w:pPr>
        <w:pStyle w:val="BodyText"/>
      </w:pPr>
      <w:r>
        <w:t xml:space="preserve">Para cada modelo de propiedad</w:t>
      </w:r>
      <w:r>
        <w:t xml:space="preserve"> </w:t>
      </w:r>
      <m:oMath>
        <m:r>
          <m:t>i</m:t>
        </m:r>
      </m:oMath>
      <w:r>
        <w:t xml:space="preserve"> </w:t>
      </w:r>
      <w:r>
        <w:t xml:space="preserve">(</w:t>
      </w:r>
      <m:oMath>
        <m:r>
          <m:t>i</m:t>
        </m:r>
        <m:r>
          <m:rPr>
            <m:sty m:val="p"/>
          </m:rPr>
          <m:t>∈</m:t>
        </m:r>
        <m:r>
          <m:rPr>
            <m:sty m:val="p"/>
          </m:rPr>
          <m:t>{</m:t>
        </m:r>
        <m:r>
          <m:t>1</m:t>
        </m:r>
        <m:r>
          <m:rPr>
            <m:sty m:val="p"/>
          </m:rPr>
          <m:t>,</m:t>
        </m:r>
        <m:r>
          <m:t>2</m:t>
        </m:r>
        <m:r>
          <m:rPr>
            <m:sty m:val="p"/>
          </m:rPr>
          <m:t>,</m:t>
        </m:r>
        <m:r>
          <m:rPr>
            <m:sty m:val="p"/>
          </m:rPr>
          <m:t>.</m:t>
        </m:r>
        <m:r>
          <m:rPr>
            <m:sty m:val="p"/>
          </m:rPr>
          <m:t>.</m:t>
        </m:r>
        <m:r>
          <m:rPr>
            <m:sty m:val="p"/>
          </m:rPr>
          <m:t>.</m:t>
        </m:r>
        <m:r>
          <m:rPr>
            <m:sty m:val="p"/>
          </m:rPr>
          <m:t>,</m:t>
        </m:r>
        <m:r>
          <m:t>K</m:t>
        </m:r>
        <m:r>
          <m:rPr>
            <m:sty m:val="p"/>
          </m:rPr>
          <m:t>}</m:t>
        </m:r>
      </m:oMath>
      <w:r>
        <w:t xml:space="preserve">), liga</w:t>
      </w:r>
      <w:r>
        <w:t xml:space="preserve"> </w:t>
      </w:r>
      <m:oMath>
        <m:r>
          <m:t>l</m:t>
        </m:r>
      </m:oMath>
      <w:r>
        <w:t xml:space="preserve"> </w:t>
      </w:r>
      <w:r>
        <w:t xml:space="preserve">y temporada</w:t>
      </w:r>
      <w:r>
        <w:t xml:space="preserve"> </w:t>
      </w:r>
      <m:oMath>
        <m:r>
          <m:t>t</m:t>
        </m:r>
      </m:oMath>
      <w:r>
        <w:t xml:space="preserve">, se calcula su proporción de representación</w:t>
      </w:r>
      <w:r>
        <w:t xml:space="preserve"> </w:t>
      </w:r>
      <m:oMath>
        <m:sSub>
          <m:e>
            <m:r>
              <m:t>p</m:t>
            </m:r>
          </m:e>
          <m:sub>
            <m:r>
              <m:t>i</m:t>
            </m:r>
            <m:r>
              <m:rPr>
                <m:sty m:val="p"/>
              </m:rPr>
              <m:t>,</m:t>
            </m:r>
            <m:r>
              <m:t>l</m:t>
            </m:r>
            <m:r>
              <m:rPr>
                <m:sty m:val="p"/>
              </m:rPr>
              <m:t>,</m:t>
            </m:r>
            <m:r>
              <m:t>t</m:t>
            </m:r>
          </m:sub>
        </m:sSub>
      </m:oMath>
      <w:r>
        <w:t xml:space="preserve">:</w:t>
      </w:r>
    </w:p>
    <w:p>
      <w:pPr>
        <w:pStyle w:val="BodyText"/>
      </w:pPr>
      <m:oMathPara>
        <m:oMathParaPr>
          <m:jc m:val="center"/>
        </m:oMathParaPr>
        <m:oMath>
          <m:sSub>
            <m:e>
              <m:r>
                <m:t>p</m:t>
              </m:r>
            </m:e>
            <m:sub>
              <m:r>
                <m:t>i</m:t>
              </m:r>
              <m:r>
                <m:rPr>
                  <m:sty m:val="p"/>
                </m:rPr>
                <m:t>,</m:t>
              </m:r>
              <m:r>
                <m:t>l</m:t>
              </m:r>
              <m:r>
                <m:rPr>
                  <m:sty m:val="p"/>
                </m:rPr>
                <m:t>,</m:t>
              </m:r>
              <m:r>
                <m:t>t</m:t>
              </m:r>
            </m:sub>
          </m:sSub>
          <m:r>
            <m:rPr>
              <m:sty m:val="p"/>
            </m:rPr>
            <m:t>=</m:t>
          </m:r>
          <m:f>
            <m:fPr>
              <m:type m:val="bar"/>
            </m:fPr>
            <m:num>
              <m:sSub>
                <m:e>
                  <m:r>
                    <m:t>n</m:t>
                  </m:r>
                </m:e>
                <m:sub>
                  <m:r>
                    <m:t>i</m:t>
                  </m:r>
                  <m:r>
                    <m:rPr>
                      <m:sty m:val="p"/>
                    </m:rPr>
                    <m:t>,</m:t>
                  </m:r>
                  <m:r>
                    <m:t>l</m:t>
                  </m:r>
                  <m:r>
                    <m:rPr>
                      <m:sty m:val="p"/>
                    </m:rPr>
                    <m:t>,</m:t>
                  </m:r>
                  <m:r>
                    <m:t>t</m:t>
                  </m:r>
                </m:sub>
              </m:sSub>
            </m:num>
            <m:den>
              <m:sSub>
                <m:e>
                  <m:r>
                    <m:t>N</m:t>
                  </m:r>
                </m:e>
                <m:sub>
                  <m:r>
                    <m:t>l</m:t>
                  </m:r>
                  <m:r>
                    <m:rPr>
                      <m:sty m:val="p"/>
                    </m:rPr>
                    <m:t>,</m:t>
                  </m:r>
                  <m:r>
                    <m:t>t</m:t>
                  </m:r>
                </m:sub>
              </m:sSub>
            </m:den>
          </m:f>
        </m:oMath>
      </m:oMathPara>
    </w:p>
    <w:p>
      <w:pPr>
        <w:pStyle w:val="FirstParagraph"/>
      </w:pPr>
      <w:r>
        <w:t xml:space="preserve">Donde:</w:t>
      </w:r>
    </w:p>
    <w:p>
      <w:pPr>
        <w:pStyle w:val="Compact"/>
        <w:numPr>
          <w:ilvl w:val="0"/>
          <w:numId w:val="1011"/>
        </w:numPr>
      </w:pPr>
      <m:oMath>
        <m:sSub>
          <m:e>
            <m:r>
              <m:t>n</m:t>
            </m:r>
          </m:e>
          <m:sub>
            <m:r>
              <m:t>i</m:t>
            </m:r>
            <m:r>
              <m:rPr>
                <m:sty m:val="p"/>
              </m:rPr>
              <m:t>,</m:t>
            </m:r>
            <m:r>
              <m:t>l</m:t>
            </m:r>
            <m:r>
              <m:rPr>
                <m:sty m:val="p"/>
              </m:rPr>
              <m:t>,</m:t>
            </m:r>
            <m:r>
              <m:t>t</m:t>
            </m:r>
          </m:sub>
        </m:sSub>
      </m:oMath>
      <w:r>
        <w:t xml:space="preserve"> </w:t>
      </w:r>
      <w:r>
        <w:t xml:space="preserve">es el número de clubes en la primera división de la liga</w:t>
      </w:r>
      <w:r>
        <w:t xml:space="preserve"> </w:t>
      </w:r>
      <m:oMath>
        <m:r>
          <m:t>l</m:t>
        </m:r>
      </m:oMath>
      <w:r>
        <w:t xml:space="preserve"> </w:t>
      </w:r>
      <w:r>
        <w:t xml:space="preserve">durante la temporada</w:t>
      </w:r>
      <w:r>
        <w:t xml:space="preserve"> </w:t>
      </w:r>
      <m:oMath>
        <m:r>
          <m:t>t</m:t>
        </m:r>
      </m:oMath>
      <w:r>
        <w:t xml:space="preserve"> </w:t>
      </w:r>
      <w:r>
        <w:t xml:space="preserve">clasificados bajo el modelo de propiedad</w:t>
      </w:r>
      <w:r>
        <w:t xml:space="preserve"> </w:t>
      </w:r>
      <m:oMath>
        <m:r>
          <m:t>i</m:t>
        </m:r>
      </m:oMath>
      <w:r>
        <w:t xml:space="preserve">.</w:t>
      </w:r>
    </w:p>
    <w:p>
      <w:pPr>
        <w:pStyle w:val="Compact"/>
        <w:numPr>
          <w:ilvl w:val="0"/>
          <w:numId w:val="1011"/>
        </w:numPr>
      </w:pPr>
      <m:oMath>
        <m:sSub>
          <m:e>
            <m:r>
              <m:t>N</m:t>
            </m:r>
          </m:e>
          <m:sub>
            <m:r>
              <m:t>l</m:t>
            </m:r>
            <m:r>
              <m:rPr>
                <m:sty m:val="p"/>
              </m:rPr>
              <m:t>,</m:t>
            </m:r>
            <m:r>
              <m:t>t</m:t>
            </m:r>
          </m:sub>
        </m:sSub>
      </m:oMath>
      <w:r>
        <w:t xml:space="preserve"> </w:t>
      </w:r>
      <w:r>
        <w:t xml:space="preserve">es el número total de clubes activos analizados en esa liga-temporada.</w:t>
      </w:r>
    </w:p>
    <w:p>
      <w:pPr>
        <w:pStyle w:val="FirstParagraph"/>
      </w:pPr>
      <w:r>
        <w:t xml:space="preserve">La matriz resultante</w:t>
      </w:r>
      <w:r>
        <w:t xml:space="preserve"> </w:t>
      </w:r>
      <m:oMath>
        <m:r>
          <m:rPr>
            <m:sty m:val="b"/>
          </m:rPr>
          <m:t>P</m:t>
        </m:r>
      </m:oMath>
      <w:r>
        <w:t xml:space="preserve"> </w:t>
      </w:r>
      <w:r>
        <w:t xml:space="preserve">de dimensiones</w:t>
      </w:r>
      <w:r>
        <w:t xml:space="preserve"> </w:t>
      </w:r>
      <m:oMath>
        <m:r>
          <m:t>30</m:t>
        </m:r>
        <m:r>
          <m:rPr>
            <m:sty m:val="p"/>
          </m:rPr>
          <m:t>×</m:t>
        </m:r>
        <m:r>
          <m:t>8</m:t>
        </m:r>
      </m:oMath>
      <w:r>
        <w:t xml:space="preserve"> </w:t>
      </w:r>
      <w:r>
        <w:t xml:space="preserve">(o</w:t>
      </w:r>
      <w:r>
        <w:t xml:space="preserve"> </w:t>
      </w:r>
      <m:oMath>
        <m:r>
          <m:t>30</m:t>
        </m:r>
        <m:r>
          <m:rPr>
            <m:sty m:val="p"/>
          </m:rPr>
          <m:t>×</m:t>
        </m:r>
        <m:r>
          <m:t>7</m:t>
        </m:r>
      </m:oMath>
      <w:r>
        <w:t xml:space="preserve"> </w:t>
      </w:r>
      <w:r>
        <w:t xml:space="preserve">si se excluye</w:t>
      </w:r>
      <w:r>
        <w:t xml:space="preserve"> </w:t>
      </w:r>
      <w:r>
        <w:rPr>
          <w:i/>
          <w:iCs/>
        </w:rPr>
        <w:t xml:space="preserve">unknown</w:t>
      </w:r>
      <w:r>
        <w:t xml:space="preserve">) describe de forma completa y continua la composición de cada Ownership Landscape. Las filas corresponden a las observaciones liga-temporada y las columnas a las proporciones de los modelos de propiedad, cumpliendo la restricción de suma:</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p</m:t>
                  </m:r>
                </m:e>
                <m:sub>
                  <m:r>
                    <m:t>i</m:t>
                  </m:r>
                  <m:r>
                    <m:rPr>
                      <m:sty m:val="p"/>
                    </m:rPr>
                    <m:t>,</m:t>
                  </m:r>
                  <m:r>
                    <m:t>l</m:t>
                  </m:r>
                  <m:r>
                    <m:rPr>
                      <m:sty m:val="p"/>
                    </m:rPr>
                    <m:t>,</m:t>
                  </m:r>
                  <m:r>
                    <m:t>t</m:t>
                  </m:r>
                </m:sub>
              </m:sSub>
            </m:e>
          </m:nary>
          <m:r>
            <m:rPr>
              <m:sty m:val="p"/>
            </m:rPr>
            <m:t>=</m:t>
          </m:r>
          <m:r>
            <m:t>1.0</m:t>
          </m:r>
        </m:oMath>
      </m:oMathPara>
    </w:p>
    <w:bookmarkStart w:id="32" w:name="Xfe38f4a3c86b739a1aee16ac02d5b5476785f0e"/>
    <w:p>
      <w:pPr>
        <w:pStyle w:val="Heading3"/>
      </w:pPr>
      <w:r>
        <w:t xml:space="preserve">Distinción Metodológica de los Indicadores</w:t>
      </w:r>
    </w:p>
    <w:p>
      <w:pPr>
        <w:pStyle w:val="FirstParagraph"/>
      </w:pPr>
      <w:r>
        <w:t xml:space="preserve">Es fundamental destacar la diferencia en el tratamiento de la información de la matriz</w:t>
      </w:r>
      <w:r>
        <w:t xml:space="preserve"> </w:t>
      </w:r>
      <m:oMath>
        <m:r>
          <m:rPr>
            <m:sty m:val="b"/>
          </m:rPr>
          <m:t>P</m:t>
        </m:r>
      </m:oMath>
      <w:r>
        <w:t xml:space="preserve">:</w:t>
      </w:r>
    </w:p>
    <w:p>
      <w:pPr>
        <w:pStyle w:val="Compact"/>
        <w:numPr>
          <w:ilvl w:val="0"/>
          <w:numId w:val="1012"/>
        </w:numPr>
      </w:pPr>
      <w:r>
        <w:rPr>
          <w:b/>
          <w:bCs/>
        </w:rPr>
        <w:t xml:space="preserve">Shannon y HHI</w:t>
      </w:r>
      <w:r>
        <w:t xml:space="preserve"> </w:t>
      </w:r>
      <w:r>
        <w:t xml:space="preserve">son medidas unidimensionales de resumen. Colapsan la distribución de proporciones en un único indicador escalar, perdiendo la información sobre</w:t>
      </w:r>
      <w:r>
        <w:t xml:space="preserve"> </w:t>
      </w:r>
      <w:r>
        <w:rPr>
          <w:i/>
          <w:iCs/>
        </w:rPr>
        <w:t xml:space="preserve">qué</w:t>
      </w:r>
      <w:r>
        <w:t xml:space="preserve"> </w:t>
      </w:r>
      <w:r>
        <w:t xml:space="preserve">modelos específicos generan esa diversidad o concentración.</w:t>
      </w:r>
    </w:p>
    <w:p>
      <w:pPr>
        <w:pStyle w:val="Compact"/>
        <w:numPr>
          <w:ilvl w:val="0"/>
          <w:numId w:val="1012"/>
        </w:numPr>
      </w:pPr>
      <w:r>
        <w:rPr>
          <w:b/>
          <w:bCs/>
        </w:rPr>
        <w:t xml:space="preserve">PCA</w:t>
      </w:r>
      <w:r>
        <w:t xml:space="preserve"> </w:t>
      </w:r>
      <w:r>
        <w:t xml:space="preserve">conserva la naturaleza configuracional y multidimensional. No reduce el landscape a una cifra de balance, sino que proyecta las similitudes y diferencias entre las combinaciones específicas de modelos de propiedad, permitiendo identificar agrupaciones (</w:t>
      </w:r>
      <w:r>
        <w:rPr>
          <w:i/>
          <w:iCs/>
        </w:rPr>
        <w:t xml:space="preserve">clusters</w:t>
      </w:r>
      <w:r>
        <w:t xml:space="preserve">) y trayectorias evolutivas concretas.</w:t>
      </w:r>
    </w:p>
    <w:bookmarkEnd w:id="32"/>
    <w:bookmarkStart w:id="36" w:name="X535ee0557e90dbc0846e49f4c47b22e30e21fa7"/>
    <w:p>
      <w:pPr>
        <w:pStyle w:val="Heading3"/>
      </w:pPr>
      <w:r>
        <w:t xml:space="preserve">Estructura del Perfil de Propiedad (Ejemplo de Composición)</w:t>
      </w:r>
    </w:p>
    <w:p>
      <w:pPr>
        <w:pStyle w:val="FirstParagraph"/>
      </w:pPr>
      <w:r>
        <w:t xml:space="preserve">Como representación gráfica de la composición de la matriz</w:t>
      </w:r>
      <w:r>
        <w:t xml:space="preserve"> </w:t>
      </w:r>
      <m:oMath>
        <m:r>
          <m:rPr>
            <m:sty m:val="b"/>
          </m:rPr>
          <m:t>P</m:t>
        </m:r>
      </m:oMath>
      <w:r>
        <w:t xml:space="preserve">, la siguiente figura muestra la composición estructural del Ownership Landscape de las cinco ligas analizadas al cierre de la temporada de referencia de 2024:</w:t>
      </w:r>
    </w:p>
    <w:p>
      <w:pPr>
        <w:pStyle w:val="CaptionedFigure"/>
      </w:pPr>
      <w:r>
        <w:drawing>
          <wp:inline>
            <wp:extent cx="5334000" cy="3097161"/>
            <wp:effectExtent b="0" l="0" r="0" t="0"/>
            <wp:docPr descr="Configurational Structure of the Ownership Landscape by League (2024 Season)" title="" id="34" name="Picture"/>
            <a:graphic>
              <a:graphicData uri="http://schemas.openxmlformats.org/drawingml/2006/picture">
                <pic:pic>
                  <pic:nvPicPr>
                    <pic:cNvPr descr="../images/ownership_profiles_2024.png" id="35" name="Picture"/>
                    <pic:cNvPicPr>
                      <a:picLocks noChangeArrowheads="1" noChangeAspect="1"/>
                    </pic:cNvPicPr>
                  </pic:nvPicPr>
                  <pic:blipFill>
                    <a:blip r:embed="rId33"/>
                    <a:stretch>
                      <a:fillRect/>
                    </a:stretch>
                  </pic:blipFill>
                  <pic:spPr bwMode="auto">
                    <a:xfrm>
                      <a:off x="0" y="0"/>
                      <a:ext cx="5334000" cy="3097161"/>
                    </a:xfrm>
                    <a:prstGeom prst="rect">
                      <a:avLst/>
                    </a:prstGeom>
                    <a:noFill/>
                    <a:ln w="9525">
                      <a:noFill/>
                      <a:headEnd/>
                      <a:tailEnd/>
                    </a:ln>
                  </pic:spPr>
                </pic:pic>
              </a:graphicData>
            </a:graphic>
          </wp:inline>
        </w:drawing>
      </w:r>
    </w:p>
    <w:p>
      <w:pPr>
        <w:pStyle w:val="ImageCaption"/>
      </w:pPr>
      <w:r>
        <w:t xml:space="preserve">Configurational Structure of the Ownership Landscape by League (2024 Season)</w:t>
      </w:r>
    </w:p>
    <w:bookmarkEnd w:id="36"/>
    <w:bookmarkStart w:id="37" w:name="X45b37ebef3aacb1f23d59eadb4c269f43857fdd"/>
    <w:p>
      <w:pPr>
        <w:pStyle w:val="Heading3"/>
      </w:pPr>
      <w:r>
        <w:t xml:space="preserve">Análisis Configuracional de los Perfiles (Snapshot 2024)</w:t>
      </w:r>
    </w:p>
    <w:p>
      <w:pPr>
        <w:pStyle w:val="FirstParagraph"/>
      </w:pPr>
      <w:r>
        <w:t xml:space="preserve">La composición detallada de la propiedad al cierre de la temporada 2024-2025 devela tres configuraciones estructurales diferenciadas en el fútbol europeo:</w:t>
      </w:r>
      <w:r>
        <w:t xml:space="preserve"> </w:t>
      </w:r>
      <w:r>
        <w:t xml:space="preserve">1.</w:t>
      </w:r>
      <w:r>
        <w:t xml:space="preserve"> </w:t>
      </w:r>
      <w:r>
        <w:rPr>
          <w:b/>
          <w:bCs/>
        </w:rPr>
        <w:t xml:space="preserve">El Modelo Tradicional-Asociativo (Alemania)</w:t>
      </w:r>
      <w:r>
        <w:t xml:space="preserve">: La Bundesliga exhibe una homogeneidad estructural excepcional dominada por el modelo democrático de socios (</w:t>
      </w:r>
      <w:r>
        <w:rPr>
          <w:rStyle w:val="VerbatimChar"/>
        </w:rPr>
        <w:t xml:space="preserve">member-owned</w:t>
      </w:r>
      <w:r>
        <w:t xml:space="preserve">,</w:t>
      </w:r>
      <w:r>
        <w:t xml:space="preserve"> </w:t>
      </w:r>
      <m:oMath>
        <m:r>
          <m:t>66.7</m:t>
        </m:r>
        <m:r>
          <m:rPr>
            <m:sty m:val="p"/>
          </m:rPr>
          <m:t>%</m:t>
        </m:r>
      </m:oMath>
      <w:r>
        <w:t xml:space="preserve">), blindado por la regla regulatoria del</w:t>
      </w:r>
      <w:r>
        <w:t xml:space="preserve"> </w:t>
      </w:r>
      <w:r>
        <w:t xml:space="preserve">“50+1”</w:t>
      </w:r>
      <w:r>
        <w:t xml:space="preserve">. Es el único entorno donde la multipropiedad transnacional y los fondos de inversión carecen de penetración significativa.</w:t>
      </w:r>
      <w:r>
        <w:t xml:space="preserve"> </w:t>
      </w:r>
      <w:r>
        <w:t xml:space="preserve">2.</w:t>
      </w:r>
      <w:r>
        <w:t xml:space="preserve"> </w:t>
      </w:r>
      <w:r>
        <w:rPr>
          <w:b/>
          <w:bCs/>
        </w:rPr>
        <w:t xml:space="preserve">El Ecosistema Global y Financiarizado (Inglaterra)</w:t>
      </w:r>
      <w:r>
        <w:t xml:space="preserve">: La Premier League representa el extremo opuesto, con una penetración masiva de multipropiedad corporativa (</w:t>
      </w:r>
      <w:r>
        <w:rPr>
          <w:rStyle w:val="VerbatimChar"/>
        </w:rPr>
        <w:t xml:space="preserve">corporate-MCO</w:t>
      </w:r>
      <w:r>
        <w:t xml:space="preserve">,</w:t>
      </w:r>
      <w:r>
        <w:t xml:space="preserve"> </w:t>
      </w:r>
      <m:oMath>
        <m:r>
          <m:t>30</m:t>
        </m:r>
        <m:r>
          <m:rPr>
            <m:sty m:val="p"/>
          </m:rPr>
          <m:t>%</m:t>
        </m:r>
      </m:oMath>
      <w:r>
        <w:t xml:space="preserve">) y capital privado extranjero (</w:t>
      </w:r>
      <w:r>
        <w:rPr>
          <w:rStyle w:val="VerbatimChar"/>
        </w:rPr>
        <w:t xml:space="preserve">foreign private</w:t>
      </w:r>
      <w:r>
        <w:t xml:space="preserve">,</w:t>
      </w:r>
      <w:r>
        <w:t xml:space="preserve"> </w:t>
      </w:r>
      <m:oMath>
        <m:r>
          <m:t>25</m:t>
        </m:r>
        <m:r>
          <m:rPr>
            <m:sty m:val="p"/>
          </m:rPr>
          <m:t>%</m:t>
        </m:r>
      </m:oMath>
      <w:r>
        <w:t xml:space="preserve">). La tasa de MCO alcanza un récord del</w:t>
      </w:r>
      <w:r>
        <w:t xml:space="preserve"> </w:t>
      </w:r>
      <m:oMath>
        <m:r>
          <m:t>65.0</m:t>
        </m:r>
        <m:r>
          <m:rPr>
            <m:sty m:val="p"/>
          </m:rPr>
          <m:t>%</m:t>
        </m:r>
      </m:oMath>
      <w:r>
        <w:t xml:space="preserve"> </w:t>
      </w:r>
      <w:r>
        <w:t xml:space="preserve">(13 de 20 clubes), evidenciando la colonización de la liga por redes transnacionales y vehículos de capital de riesgo.</w:t>
      </w:r>
      <w:r>
        <w:t xml:space="preserve"> </w:t>
      </w:r>
      <w:r>
        <w:t xml:space="preserve">3.</w:t>
      </w:r>
      <w:r>
        <w:t xml:space="preserve"> </w:t>
      </w:r>
      <w:r>
        <w:rPr>
          <w:b/>
          <w:bCs/>
        </w:rPr>
        <w:t xml:space="preserve">Los Paisajes Híbridos y de Transición (España, Italia y Francia)</w:t>
      </w:r>
      <w:r>
        <w:t xml:space="preserve">: LaLiga española muestra una convivencia equilibrada de lógicas donde coexisten clubes democráticos (</w:t>
      </w:r>
      <m:oMath>
        <m:r>
          <m:t>20</m:t>
        </m:r>
        <m:r>
          <m:rPr>
            <m:sty m:val="p"/>
          </m:rPr>
          <m:t>%</m:t>
        </m:r>
      </m:oMath>
      <w:r>
        <w:t xml:space="preserve">), propiedad privada nacional (</w:t>
      </w:r>
      <m:oMath>
        <m:r>
          <m:t>25</m:t>
        </m:r>
        <m:r>
          <m:rPr>
            <m:sty m:val="p"/>
          </m:rPr>
          <m:t>%</m:t>
        </m:r>
      </m:oMath>
      <w:r>
        <w:t xml:space="preserve">), capital extranjero (</w:t>
      </w:r>
      <m:oMath>
        <m:r>
          <m:t>15</m:t>
        </m:r>
        <m:r>
          <m:rPr>
            <m:sty m:val="p"/>
          </m:rPr>
          <m:t>%</m:t>
        </m:r>
      </m:oMath>
      <w:r>
        <w:t xml:space="preserve">) e híbrido (</w:t>
      </w:r>
      <m:oMath>
        <m:r>
          <m:t>15</m:t>
        </m:r>
        <m:r>
          <m:rPr>
            <m:sty m:val="p"/>
          </m:rPr>
          <m:t>%</m:t>
        </m:r>
      </m:oMath>
      <w:r>
        <w:t xml:space="preserve">). Por su parte, la Serie A italiana y la Ligue 1 francesa muestran una fragmentación extrema marcada por la progresiva retirada de las familias locales tradicionales ante la entrada de fondos de inversión (</w:t>
      </w:r>
      <w:r>
        <w:rPr>
          <w:rStyle w:val="VerbatimChar"/>
        </w:rPr>
        <w:t xml:space="preserve">investment fund</w:t>
      </w:r>
      <w:r>
        <w:t xml:space="preserve">, como en AC Milan o Inter) y redes de MCO.</w:t>
      </w:r>
    </w:p>
    <w:p>
      <w:r>
        <w:pict>
          <v:rect style="width:0;height:1.5pt" o:hralign="center" o:hrstd="t" o:hr="t"/>
        </w:pict>
      </w:r>
    </w:p>
    <w:bookmarkEnd w:id="37"/>
    <w:bookmarkEnd w:id="38"/>
    <w:bookmarkStart w:id="47" w:name="X14bd6835f1275dfb3a789bfe2882aa7b2a4ca70"/>
    <w:p>
      <w:pPr>
        <w:pStyle w:val="Heading2"/>
      </w:pPr>
      <w:r>
        <w:t xml:space="preserve">5. Entropía de Shannon e Índice Herfindahl-Hirschman (HHI)</w:t>
      </w:r>
    </w:p>
    <w:p>
      <w:pPr>
        <w:pStyle w:val="FirstParagraph"/>
      </w:pPr>
      <w:r>
        <w:t xml:space="preserve">Presentamos la diversidad y la concentración como dimensiones</w:t>
      </w:r>
      <w:r>
        <w:t xml:space="preserve"> </w:t>
      </w:r>
      <w:r>
        <w:rPr>
          <w:b/>
          <w:bCs/>
        </w:rPr>
        <w:t xml:space="preserve">complementarias pero analíticamente distintas</w:t>
      </w:r>
      <w:r>
        <w:t xml:space="preserve">.</w:t>
      </w:r>
    </w:p>
    <w:bookmarkStart w:id="39" w:name="entropía-de-shannon"/>
    <w:p>
      <w:pPr>
        <w:pStyle w:val="Heading3"/>
      </w:pPr>
      <w:r>
        <w:t xml:space="preserve">Entropía de Shannon</w:t>
      </w:r>
    </w:p>
    <w:p>
      <w:pPr>
        <w:pStyle w:val="FirstParagraph"/>
      </w:pPr>
      <w:r>
        <w:t xml:space="preserve">Para medir la variedad de modelos de propiedad y el grado de equilibrio en su reparto dentro de la liga-temporada, se calcula la Entropía de Shannon (</w:t>
      </w:r>
      <m:oMath>
        <m:sSub>
          <m:e>
            <m:r>
              <m:t>H</m:t>
            </m:r>
          </m:e>
          <m:sub>
            <m:r>
              <m:t>l</m:t>
            </m:r>
            <m:r>
              <m:rPr>
                <m:sty m:val="p"/>
              </m:rPr>
              <m:t>,</m:t>
            </m:r>
            <m:r>
              <m:t>t</m:t>
            </m:r>
          </m:sub>
        </m:sSub>
      </m:oMath>
      <w:r>
        <w:t xml:space="preserve">), basada en la teoría matemática de la comunicación (Shannon, 1948) y en su posterior adaptación conceptual a la medición de la diversidad en ecología y ciencias sociales (Jost, 2006):</w:t>
      </w:r>
    </w:p>
    <w:p>
      <w:pPr>
        <w:pStyle w:val="BodyText"/>
      </w:pPr>
      <m:oMathPara>
        <m:oMathParaPr>
          <m:jc m:val="center"/>
        </m:oMathParaPr>
        <m:oMath>
          <m:sSub>
            <m:e>
              <m:r>
                <m:t>H</m:t>
              </m:r>
            </m:e>
            <m:sub>
              <m:r>
                <m:t>l</m:t>
              </m:r>
              <m:r>
                <m:rPr>
                  <m:sty m:val="p"/>
                </m:rPr>
                <m:t>,</m:t>
              </m:r>
              <m:r>
                <m:t>t</m:t>
              </m:r>
            </m:sub>
          </m:sSub>
          <m:r>
            <m:rPr>
              <m:sty m:val="p"/>
            </m:rPr>
            <m:t>=</m:t>
          </m:r>
          <m:r>
            <m:rPr>
              <m:sty m:val="p"/>
            </m:rPr>
            <m:t>−</m:t>
          </m:r>
          <m:nary>
            <m:naryPr>
              <m:chr m:val="∑"/>
              <m:limLoc m:val="undOvr"/>
              <m:subHide m:val="off"/>
              <m:supHide m:val="off"/>
            </m:naryPr>
            <m:sub>
              <m:r>
                <m:t>i</m:t>
              </m:r>
              <m:r>
                <m:rPr>
                  <m:sty m:val="p"/>
                </m:rPr>
                <m:t>=</m:t>
              </m:r>
              <m:r>
                <m:t>1</m:t>
              </m:r>
            </m:sub>
            <m:sup>
              <m:r>
                <m:t>K</m:t>
              </m:r>
            </m:sup>
            <m:e>
              <m:sSub>
                <m:e>
                  <m:r>
                    <m:t>p</m:t>
                  </m:r>
                </m:e>
                <m:sub>
                  <m:r>
                    <m:t>i</m:t>
                  </m:r>
                  <m:r>
                    <m:rPr>
                      <m:sty m:val="p"/>
                    </m:rPr>
                    <m:t>,</m:t>
                  </m:r>
                  <m:r>
                    <m:t>l</m:t>
                  </m:r>
                  <m:r>
                    <m:rPr>
                      <m:sty m:val="p"/>
                    </m:rPr>
                    <m:t>,</m:t>
                  </m:r>
                  <m:r>
                    <m:t>t</m:t>
                  </m:r>
                </m:sub>
              </m:sSub>
            </m:e>
          </m:nary>
          <m:r>
            <m:rPr>
              <m:sty m:val="p"/>
            </m:rPr>
            <m:t>ln</m:t>
          </m:r>
          <m:d>
            <m:dPr>
              <m:begChr m:val="("/>
              <m:sepChr m:val=""/>
              <m:endChr m:val=")"/>
              <m:grow/>
            </m:dPr>
            <m:e>
              <m:sSub>
                <m:e>
                  <m:r>
                    <m:t>p</m:t>
                  </m:r>
                </m:e>
                <m:sub>
                  <m:r>
                    <m:t>i</m:t>
                  </m:r>
                  <m:r>
                    <m:rPr>
                      <m:sty m:val="p"/>
                    </m:rPr>
                    <m:t>,</m:t>
                  </m:r>
                  <m:r>
                    <m:t>l</m:t>
                  </m:r>
                  <m:r>
                    <m:rPr>
                      <m:sty m:val="p"/>
                    </m:rPr>
                    <m:t>,</m:t>
                  </m:r>
                  <m:r>
                    <m:t>t</m:t>
                  </m:r>
                </m:sub>
              </m:sSub>
            </m:e>
          </m:d>
        </m:oMath>
      </m:oMathPara>
    </w:p>
    <w:p>
      <w:pPr>
        <w:pStyle w:val="FirstParagraph"/>
      </w:pPr>
      <w:r>
        <w:rPr>
          <w:i/>
          <w:iCs/>
        </w:rPr>
        <w:t xml:space="preserve">Donde por definición</w:t>
      </w:r>
      <w:r>
        <w:rPr>
          <w:i/>
          <w:iCs/>
        </w:rPr>
        <w:t xml:space="preserve"> </w:t>
      </w:r>
      <m:oMath>
        <m:r>
          <m:t>0</m:t>
        </m:r>
        <m:r>
          <m:rPr>
            <m:sty m:val="p"/>
          </m:rPr>
          <m:t>ln</m:t>
        </m:r>
        <m:d>
          <m:dPr>
            <m:begChr m:val="("/>
            <m:sepChr m:val=""/>
            <m:endChr m:val=")"/>
            <m:grow/>
          </m:dPr>
          <m:e>
            <m:r>
              <m:t>0</m:t>
            </m:r>
          </m:e>
        </m:d>
        <m:r>
          <m:rPr>
            <m:sty m:val="p"/>
          </m:rPr>
          <m:t>=</m:t>
        </m:r>
        <m:r>
          <m:t>0</m:t>
        </m:r>
      </m:oMath>
      <w:r>
        <w:rPr>
          <w:i/>
          <w:iCs/>
        </w:rPr>
        <w:t xml:space="preserve">.</w:t>
      </w:r>
      <w:r>
        <w:t xml:space="preserve"> </w:t>
      </w:r>
      <w:r>
        <w:t xml:space="preserve">La Entropía de Shannon (</w:t>
      </w:r>
      <m:oMath>
        <m:sSub>
          <m:e>
            <m:r>
              <m:t>H</m:t>
            </m:r>
          </m:e>
          <m:sub>
            <m:r>
              <m:t>l</m:t>
            </m:r>
            <m:r>
              <m:rPr>
                <m:sty m:val="p"/>
              </m:rPr>
              <m:t>,</m:t>
            </m:r>
            <m:r>
              <m:t>t</m:t>
            </m:r>
          </m:sub>
        </m:sSub>
      </m:oMath>
      <w:r>
        <w:t xml:space="preserve">) toma valores en el intervalo</w:t>
      </w:r>
      <w:r>
        <w:t xml:space="preserve"> </w:t>
      </w:r>
      <m:oMath>
        <m:d>
          <m:dPr>
            <m:begChr m:val="["/>
            <m:sepChr m:val=""/>
            <m:endChr m:val="]"/>
            <m:grow/>
          </m:dPr>
          <m:e>
            <m:r>
              <m:t>0</m:t>
            </m:r>
            <m:r>
              <m:rPr>
                <m:sty m:val="p"/>
              </m:rPr>
              <m:t>,</m:t>
            </m:r>
            <m:r>
              <m:rPr>
                <m:sty m:val="p"/>
              </m:rPr>
              <m:t>ln</m:t>
            </m:r>
            <m:d>
              <m:dPr>
                <m:begChr m:val="("/>
                <m:sepChr m:val=""/>
                <m:endChr m:val=")"/>
                <m:grow/>
              </m:dPr>
              <m:e>
                <m:r>
                  <m:t>K</m:t>
                </m:r>
              </m:e>
            </m:d>
          </m:e>
        </m:d>
      </m:oMath>
      <w:r>
        <w:t xml:space="preserve">, donde</w:t>
      </w:r>
      <w:r>
        <w:t xml:space="preserve"> </w:t>
      </w:r>
      <m:oMath>
        <m:r>
          <m:t>K</m:t>
        </m:r>
      </m:oMath>
      <w:r>
        <w:t xml:space="preserve"> </w:t>
      </w:r>
      <w:r>
        <w:t xml:space="preserve">es el número máximo de categorías de propiedad posibles (</w:t>
      </w:r>
      <m:oMath>
        <m:r>
          <m:t>K</m:t>
        </m:r>
        <m:r>
          <m:rPr>
            <m:sty m:val="p"/>
          </m:rPr>
          <m:t>=</m:t>
        </m:r>
        <m:r>
          <m:t>7</m:t>
        </m:r>
      </m:oMath>
      <w:r>
        <w:t xml:space="preserve"> </w:t>
      </w:r>
      <w:r>
        <w:t xml:space="preserve">modelos sustantivos en nuestro análisis). Un valor de</w:t>
      </w:r>
      <w:r>
        <w:t xml:space="preserve"> </w:t>
      </w:r>
      <m:oMath>
        <m:r>
          <m:t>0</m:t>
        </m:r>
      </m:oMath>
      <w:r>
        <w:t xml:space="preserve"> </w:t>
      </w:r>
      <w:r>
        <w:t xml:space="preserve">representa la homogeneidad absoluta (toda la liga bajo un único modelo de propiedad) y el valor máximo de</w:t>
      </w:r>
      <w:r>
        <w:t xml:space="preserve"> </w:t>
      </w:r>
      <m:oMath>
        <m:r>
          <m:rPr>
            <m:sty m:val="p"/>
          </m:rPr>
          <m:t>ln</m:t>
        </m:r>
        <m:d>
          <m:dPr>
            <m:begChr m:val="("/>
            <m:sepChr m:val=""/>
            <m:endChr m:val=")"/>
            <m:grow/>
          </m:dPr>
          <m:e>
            <m:r>
              <m:t>K</m:t>
            </m:r>
          </m:e>
        </m:d>
      </m:oMath>
      <w:r>
        <w:t xml:space="preserve"> </w:t>
      </w:r>
      <w:r>
        <w:t xml:space="preserve">representa el equilibrio perfecto (un reparto idéntico de clubes entre todas las categorías de propiedad). Dado que el catálogo de categorías es constante para todas las observaciones del panel, el indicador es directamente comparable entre las ligas.</w:t>
      </w:r>
    </w:p>
    <w:bookmarkEnd w:id="39"/>
    <w:bookmarkStart w:id="40" w:name="índice-herfindahl-hirschman-hhi"/>
    <w:p>
      <w:pPr>
        <w:pStyle w:val="Heading3"/>
      </w:pPr>
      <w:r>
        <w:t xml:space="preserve">Índice Herfindahl-Hirschman (HHI)</w:t>
      </w:r>
    </w:p>
    <w:p>
      <w:pPr>
        <w:pStyle w:val="FirstParagraph"/>
      </w:pPr>
      <w:r>
        <w:t xml:space="preserve">Para medir la dominancia de una o unas pocas categorías sobre el total de la liga-temporada, se calcula el Índice Herfindahl-Hirschman (</w:t>
      </w:r>
      <m:oMath>
        <m:r>
          <m:t>H</m:t>
        </m:r>
        <m:r>
          <m:t>H</m:t>
        </m:r>
        <m:sSub>
          <m:e>
            <m:r>
              <m:t>I</m:t>
            </m:r>
          </m:e>
          <m:sub>
            <m:r>
              <m:t>l</m:t>
            </m:r>
            <m:r>
              <m:rPr>
                <m:sty m:val="p"/>
              </m:rPr>
              <m:t>,</m:t>
            </m:r>
            <m:r>
              <m:t>t</m:t>
            </m:r>
          </m:sub>
        </m:sSub>
      </m:oMath>
      <w:r>
        <w:t xml:space="preserve">), que constituye el estándar clásico para evaluar la concentración de mercados (Hirschman, 1964):</w:t>
      </w:r>
    </w:p>
    <w:p>
      <w:pPr>
        <w:pStyle w:val="BodyText"/>
      </w:pPr>
      <m:oMathPara>
        <m:oMathParaPr>
          <m:jc m:val="center"/>
        </m:oMathParaPr>
        <m:oMath>
          <m:r>
            <m:t>H</m:t>
          </m:r>
          <m:r>
            <m:t>H</m:t>
          </m:r>
          <m:sSub>
            <m:e>
              <m:r>
                <m:t>I</m:t>
              </m:r>
            </m:e>
            <m:sub>
              <m:r>
                <m:t>l</m:t>
              </m:r>
              <m:r>
                <m:rPr>
                  <m:sty m:val="p"/>
                </m:rPr>
                <m:t>,</m:t>
              </m:r>
              <m:r>
                <m:t>t</m:t>
              </m:r>
            </m:sub>
          </m:sSub>
          <m:r>
            <m:rPr>
              <m:sty m:val="p"/>
            </m:rPr>
            <m:t>=</m:t>
          </m:r>
          <m:nary>
            <m:naryPr>
              <m:chr m:val="∑"/>
              <m:limLoc m:val="undOvr"/>
              <m:subHide m:val="off"/>
              <m:supHide m:val="off"/>
            </m:naryPr>
            <m:sub>
              <m:r>
                <m:t>i</m:t>
              </m:r>
              <m:r>
                <m:rPr>
                  <m:sty m:val="p"/>
                </m:rPr>
                <m:t>=</m:t>
              </m:r>
              <m:r>
                <m:t>1</m:t>
              </m:r>
            </m:sub>
            <m:sup>
              <m:r>
                <m:t>K</m:t>
              </m:r>
            </m:sup>
            <m:e>
              <m:sSubSup>
                <m:e>
                  <m:r>
                    <m:t>p</m:t>
                  </m:r>
                </m:e>
                <m:sub>
                  <m:r>
                    <m:t>i</m:t>
                  </m:r>
                  <m:r>
                    <m:rPr>
                      <m:sty m:val="p"/>
                    </m:rPr>
                    <m:t>,</m:t>
                  </m:r>
                  <m:r>
                    <m:t>l</m:t>
                  </m:r>
                  <m:r>
                    <m:rPr>
                      <m:sty m:val="p"/>
                    </m:rPr>
                    <m:t>,</m:t>
                  </m:r>
                  <m:r>
                    <m:t>t</m:t>
                  </m:r>
                </m:sub>
                <m:sup>
                  <m:r>
                    <m:t>2</m:t>
                  </m:r>
                </m:sup>
              </m:sSubSup>
            </m:e>
          </m:nary>
        </m:oMath>
      </m:oMathPara>
    </w:p>
    <w:p>
      <w:pPr>
        <w:pStyle w:val="FirstParagraph"/>
      </w:pPr>
      <w:r>
        <w:t xml:space="preserve">El HHI oscila en el rango</w:t>
      </w:r>
      <w:r>
        <w:t xml:space="preserve"> </w:t>
      </w:r>
      <m:oMath>
        <m:d>
          <m:dPr>
            <m:begChr m:val="["/>
            <m:sepChr m:val=""/>
            <m:endChr m:val="]"/>
            <m:grow/>
          </m:dPr>
          <m:e>
            <m:r>
              <m:t>1</m:t>
            </m:r>
            <m:r>
              <m:rPr>
                <m:sty m:val="p"/>
              </m:rPr>
              <m:t>/</m:t>
            </m:r>
            <m:r>
              <m:t>K</m:t>
            </m:r>
            <m:r>
              <m:rPr>
                <m:sty m:val="p"/>
              </m:rPr>
              <m:t>,</m:t>
            </m:r>
            <m:r>
              <m:t>1.0</m:t>
            </m:r>
          </m:e>
        </m:d>
      </m:oMath>
      <w:r>
        <w:t xml:space="preserve">. Un valor alto de HHI denota alta concentración (un modelo predomina claramente), mientras que valores bajos indican un paisaje fragmentado.</w:t>
      </w:r>
    </w:p>
    <w:bookmarkEnd w:id="40"/>
    <w:bookmarkStart w:id="41" w:name="relación-no-equivalente"/>
    <w:p>
      <w:pPr>
        <w:pStyle w:val="Heading3"/>
      </w:pPr>
      <w:r>
        <w:t xml:space="preserve">Relación No Equivalente</w:t>
      </w:r>
    </w:p>
    <w:p>
      <w:pPr>
        <w:pStyle w:val="FirstParagraph"/>
      </w:pPr>
      <w:r>
        <w:t xml:space="preserve">Aunque la entropía y el HHI correlacionan fuertemente en términos generales,</w:t>
      </w:r>
      <w:r>
        <w:t xml:space="preserve"> </w:t>
      </w:r>
      <w:r>
        <w:rPr>
          <w:b/>
          <w:bCs/>
        </w:rPr>
        <w:t xml:space="preserve">no son intercambiables</w:t>
      </w:r>
      <w:r>
        <w:t xml:space="preserve">:</w:t>
      </w:r>
    </w:p>
    <w:p>
      <w:pPr>
        <w:pStyle w:val="Compact"/>
        <w:numPr>
          <w:ilvl w:val="0"/>
          <w:numId w:val="1013"/>
        </w:numPr>
      </w:pPr>
      <w:r>
        <w:t xml:space="preserve">La</w:t>
      </w:r>
      <w:r>
        <w:t xml:space="preserve"> </w:t>
      </w:r>
      <w:r>
        <w:rPr>
          <w:b/>
          <w:bCs/>
        </w:rPr>
        <w:t xml:space="preserve">Entropía de Shannon</w:t>
      </w:r>
      <w:r>
        <w:t xml:space="preserve"> </w:t>
      </w:r>
      <w:r>
        <w:t xml:space="preserve">es más sensible a la presencia de categorías minoritarias y al equilibrio general de la distribución (reparto uniforme).</w:t>
      </w:r>
    </w:p>
    <w:p>
      <w:pPr>
        <w:pStyle w:val="Compact"/>
        <w:numPr>
          <w:ilvl w:val="0"/>
          <w:numId w:val="1013"/>
        </w:numPr>
      </w:pPr>
      <w:r>
        <w:t xml:space="preserve">El</w:t>
      </w:r>
      <w:r>
        <w:t xml:space="preserve"> </w:t>
      </w:r>
      <w:r>
        <w:rPr>
          <w:b/>
          <w:bCs/>
        </w:rPr>
        <w:t xml:space="preserve">HHI</w:t>
      </w:r>
      <w:r>
        <w:t xml:space="preserve"> </w:t>
      </w:r>
      <w:r>
        <w:t xml:space="preserve">penaliza de forma cuadrática las desviaciones respecto al equilibrio, concediendo mucho más peso e importancia a las categorías dominantes del landscape.</w:t>
      </w:r>
      <w:r>
        <w:t xml:space="preserve"> </w:t>
      </w:r>
      <w:r>
        <w:t xml:space="preserve">Por lo tanto, la evolución de ambos indicadores no es simétrica ante cambios en modelos minoritarios, aportando información complementaria para el análisis estructural.</w:t>
      </w:r>
    </w:p>
    <w:bookmarkEnd w:id="41"/>
    <w:bookmarkStart w:id="45" w:name="Xc6720768b4dff71506050ed2f419c3b51678bac"/>
    <w:p>
      <w:pPr>
        <w:pStyle w:val="Heading3"/>
      </w:pPr>
      <w:r>
        <w:t xml:space="preserve">Tendencias Históricas de los Índices de Diversidad y Concentración</w:t>
      </w:r>
    </w:p>
    <w:p>
      <w:pPr>
        <w:pStyle w:val="FirstParagraph"/>
      </w:pPr>
      <w:r>
        <w:t xml:space="preserve">La evolución de estos dos indicadores unidimensionales (</w:t>
      </w:r>
      <m:oMath>
        <m:sSub>
          <m:e>
            <m:r>
              <m:t>H</m:t>
            </m:r>
          </m:e>
          <m:sub>
            <m:r>
              <m:t>l</m:t>
            </m:r>
            <m:r>
              <m:rPr>
                <m:sty m:val="p"/>
              </m:rPr>
              <m:t>,</m:t>
            </m:r>
            <m:r>
              <m:t>t</m:t>
            </m:r>
          </m:sub>
        </m:sSub>
      </m:oMath>
      <w:r>
        <w:t xml:space="preserve"> </w:t>
      </w:r>
      <w:r>
        <w:t xml:space="preserve">y</w:t>
      </w:r>
      <w:r>
        <w:t xml:space="preserve"> </w:t>
      </w:r>
      <m:oMath>
        <m:r>
          <m:t>H</m:t>
        </m:r>
        <m:r>
          <m:t>H</m:t>
        </m:r>
        <m:sSub>
          <m:e>
            <m:r>
              <m:t>I</m:t>
            </m:r>
          </m:e>
          <m:sub>
            <m:r>
              <m:t>l</m:t>
            </m:r>
            <m:r>
              <m:rPr>
                <m:sty m:val="p"/>
              </m:rPr>
              <m:t>,</m:t>
            </m:r>
            <m:r>
              <m:t>t</m:t>
            </m:r>
          </m:sub>
        </m:sSub>
      </m:oMath>
      <w:r>
        <w:t xml:space="preserve">), junto con la tasa de multipropiedad (MCO), se visualiza en los tres paneles siguientes para la ventana temporal 2019-2024:</w:t>
      </w:r>
    </w:p>
    <w:p>
      <w:pPr>
        <w:pStyle w:val="CaptionedFigure"/>
      </w:pPr>
      <w:r>
        <w:drawing>
          <wp:inline>
            <wp:extent cx="5334000" cy="1534460"/>
            <wp:effectExtent b="0" l="0" r="0" t="0"/>
            <wp:docPr descr="Evolution of Ownership Diversity, Concentration, and Multi-Club Ownership (2019-2024)" title="" id="43" name="Picture"/>
            <a:graphic>
              <a:graphicData uri="http://schemas.openxmlformats.org/drawingml/2006/picture">
                <pic:pic>
                  <pic:nvPicPr>
                    <pic:cNvPr descr="../images/temporal_indices.png" id="44" name="Picture"/>
                    <pic:cNvPicPr>
                      <a:picLocks noChangeArrowheads="1" noChangeAspect="1"/>
                    </pic:cNvPicPr>
                  </pic:nvPicPr>
                  <pic:blipFill>
                    <a:blip r:embed="rId42"/>
                    <a:stretch>
                      <a:fillRect/>
                    </a:stretch>
                  </pic:blipFill>
                  <pic:spPr bwMode="auto">
                    <a:xfrm>
                      <a:off x="0" y="0"/>
                      <a:ext cx="5334000" cy="1534460"/>
                    </a:xfrm>
                    <a:prstGeom prst="rect">
                      <a:avLst/>
                    </a:prstGeom>
                    <a:noFill/>
                    <a:ln w="9525">
                      <a:noFill/>
                      <a:headEnd/>
                      <a:tailEnd/>
                    </a:ln>
                  </pic:spPr>
                </pic:pic>
              </a:graphicData>
            </a:graphic>
          </wp:inline>
        </w:drawing>
      </w:r>
    </w:p>
    <w:p>
      <w:pPr>
        <w:pStyle w:val="ImageCaption"/>
      </w:pPr>
      <w:r>
        <w:t xml:space="preserve">Evolution of Ownership Diversity, Concentration, and Multi-Club Ownership (2019-2024)</w:t>
      </w:r>
    </w:p>
    <w:bookmarkEnd w:id="45"/>
    <w:bookmarkStart w:id="46" w:name="X7b5ccfe7218c3f250afb868380787ad90714999"/>
    <w:p>
      <w:pPr>
        <w:pStyle w:val="Heading3"/>
      </w:pPr>
      <w:r>
        <w:t xml:space="preserve">Trayectorias de Diversidad y Concentración (2019-2024)</w:t>
      </w:r>
    </w:p>
    <w:p>
      <w:pPr>
        <w:pStyle w:val="FirstParagraph"/>
      </w:pPr>
      <w:r>
        <w:t xml:space="preserve">La evolución longitudinal de las métricas de diversidad (</w:t>
      </w:r>
      <m:oMath>
        <m:r>
          <m:t>H</m:t>
        </m:r>
      </m:oMath>
      <w:r>
        <w:t xml:space="preserve">) y concentración (</w:t>
      </w:r>
      <m:oMath>
        <m:r>
          <m:t>H</m:t>
        </m:r>
        <m:r>
          <m:t>H</m:t>
        </m:r>
        <m:r>
          <m:t>I</m:t>
        </m:r>
      </m:oMath>
      <w:r>
        <w:t xml:space="preserve">) durante las últimas seis temporadas ratifica tres dinámicas de cambio:</w:t>
      </w:r>
      <w:r>
        <w:t xml:space="preserve"> </w:t>
      </w:r>
      <w:r>
        <w:t xml:space="preserve">*</w:t>
      </w:r>
      <w:r>
        <w:t xml:space="preserve"> </w:t>
      </w:r>
      <w:r>
        <w:rPr>
          <w:b/>
          <w:bCs/>
        </w:rPr>
        <w:t xml:space="preserve">La Simetría de los Indicadores (El Espejo Matemático)</w:t>
      </w:r>
      <w:r>
        <w:t xml:space="preserve">: Los paneles longitudinales muestran curvas perfectamente invertidas entre la Entropía y el HHI. La Bundesliga se mantiene inmóvil en el extremo inferior de diversidad (Entropía</w:t>
      </w:r>
      <w:r>
        <w:t xml:space="preserve"> </w:t>
      </w:r>
      <m:oMath>
        <m:r>
          <m:rPr>
            <m:sty m:val="p"/>
          </m:rPr>
          <m:t>≈</m:t>
        </m:r>
        <m:r>
          <m:t>1.05</m:t>
        </m:r>
      </m:oMath>
      <w:r>
        <w:t xml:space="preserve">) y superior de concentración (HHI</w:t>
      </w:r>
      <w:r>
        <w:t xml:space="preserve"> </w:t>
      </w:r>
      <m:oMath>
        <m:r>
          <m:rPr>
            <m:sty m:val="p"/>
          </m:rPr>
          <m:t>≈</m:t>
        </m:r>
        <m:r>
          <m:t>0.48</m:t>
        </m:r>
      </m:oMath>
      <w:r>
        <w:t xml:space="preserve">), mientras que LaLiga y la Premier League lideran de forma constante el índice de diversidad (Entropía</w:t>
      </w:r>
      <w:r>
        <w:t xml:space="preserve"> </w:t>
      </w:r>
      <m:oMath>
        <m:r>
          <m:rPr>
            <m:sty m:val="p"/>
          </m:rPr>
          <m:t>&gt;</m:t>
        </m:r>
        <m:r>
          <m:t>1.70</m:t>
        </m:r>
      </m:oMath>
      <w:r>
        <w:t xml:space="preserve">, HHI</w:t>
      </w:r>
      <w:r>
        <w:t xml:space="preserve"> </w:t>
      </w:r>
      <m:oMath>
        <m:r>
          <m:rPr>
            <m:sty m:val="p"/>
          </m:rPr>
          <m:t>&lt;</m:t>
        </m:r>
        <m:r>
          <m:t>0.19</m:t>
        </m:r>
      </m:oMath>
      <w:r>
        <w:t xml:space="preserve">).</w:t>
      </w:r>
      <w:r>
        <w:t xml:space="preserve"> </w:t>
      </w:r>
      <w:r>
        <w:t xml:space="preserve">*</w:t>
      </w:r>
      <w:r>
        <w:t xml:space="preserve"> </w:t>
      </w:r>
      <w:r>
        <w:rPr>
          <w:b/>
          <w:bCs/>
        </w:rPr>
        <w:t xml:space="preserve">La Volatilidad de la Serie A y Ligue 1</w:t>
      </w:r>
      <w:r>
        <w:t xml:space="preserve">: Ambos entornos exhiben las mayores oscilaciones anuales. En la Serie A, la abrupta caída de la entropía hasta un mínimo de</w:t>
      </w:r>
      <w:r>
        <w:t xml:space="preserve"> </w:t>
      </w:r>
      <m:oMath>
        <m:r>
          <m:t>1.290</m:t>
        </m:r>
      </m:oMath>
      <w:r>
        <w:t xml:space="preserve"> </w:t>
      </w:r>
      <w:r>
        <w:t xml:space="preserve">en 2023 refleja el proceso de colonización financiera del fútbol italiano, donde los fondos de inversión extranjeros y consorcios internacionales absorbieron y concentraron el control de los clubes históricos.</w:t>
      </w:r>
      <w:r>
        <w:t xml:space="preserve"> </w:t>
      </w:r>
      <w:r>
        <w:t xml:space="preserve">*</w:t>
      </w:r>
      <w:r>
        <w:t xml:space="preserve"> </w:t>
      </w:r>
      <w:r>
        <w:rPr>
          <w:b/>
          <w:bCs/>
        </w:rPr>
        <w:t xml:space="preserve">La Expansión de la Multipropiedad (MCO)</w:t>
      </w:r>
      <w:r>
        <w:t xml:space="preserve">: La tasa de MCO (panel derecho) es un fenómeno global al alza. oscila en niveles muy altos (entre el</w:t>
      </w:r>
      <w:r>
        <w:t xml:space="preserve"> </w:t>
      </w:r>
      <m:oMath>
        <m:r>
          <m:t>60</m:t>
        </m:r>
        <m:r>
          <m:rPr>
            <m:sty m:val="p"/>
          </m:rPr>
          <m:t>%</m:t>
        </m:r>
      </m:oMath>
      <w:r>
        <w:t xml:space="preserve"> </w:t>
      </w:r>
      <w:r>
        <w:t xml:space="preserve">y el</w:t>
      </w:r>
      <w:r>
        <w:t xml:space="preserve"> </w:t>
      </w:r>
      <m:oMath>
        <m:r>
          <m:t>70</m:t>
        </m:r>
        <m:r>
          <m:rPr>
            <m:sty m:val="p"/>
          </m:rPr>
          <m:t>%</m:t>
        </m:r>
      </m:oMath>
      <w:r>
        <w:t xml:space="preserve">) en la Premier League, cerrando en el</w:t>
      </w:r>
      <w:r>
        <w:t xml:space="preserve"> </w:t>
      </w:r>
      <m:oMath>
        <m:r>
          <m:t>65</m:t>
        </m:r>
        <m:r>
          <m:rPr>
            <m:sty m:val="p"/>
          </m:rPr>
          <m:t>%</m:t>
        </m:r>
      </m:oMath>
      <w:r>
        <w:t xml:space="preserve"> </w:t>
      </w:r>
      <w:r>
        <w:t xml:space="preserve">en 2024, alcanza el</w:t>
      </w:r>
      <w:r>
        <w:t xml:space="preserve"> </w:t>
      </w:r>
      <m:oMath>
        <m:r>
          <m:t>30</m:t>
        </m:r>
        <m:r>
          <m:rPr>
            <m:sty m:val="p"/>
          </m:rPr>
          <m:t>%</m:t>
        </m:r>
      </m:oMath>
      <w:r>
        <w:t xml:space="preserve"> </w:t>
      </w:r>
      <w:r>
        <w:t xml:space="preserve">en la Serie A y el</w:t>
      </w:r>
      <w:r>
        <w:t xml:space="preserve"> </w:t>
      </w:r>
      <m:oMath>
        <m:r>
          <m:t>27.8</m:t>
        </m:r>
        <m:r>
          <m:rPr>
            <m:sty m:val="p"/>
          </m:rPr>
          <m:t>%</m:t>
        </m:r>
      </m:oMath>
      <w:r>
        <w:t xml:space="preserve"> </w:t>
      </w:r>
      <w:r>
        <w:t xml:space="preserve">en la Ligue 1. La Bundesliga permanece inalterada en su nivel mínimo (</w:t>
      </w:r>
      <m:oMath>
        <m:r>
          <m:t>5.6</m:t>
        </m:r>
        <m:r>
          <m:rPr>
            <m:sty m:val="p"/>
          </m:rPr>
          <m:t>%</m:t>
        </m:r>
      </m:oMath>
      <w:r>
        <w:t xml:space="preserve">), actuando como una anomalía regulatoria en el continente.</w:t>
      </w:r>
    </w:p>
    <w:p>
      <w:r>
        <w:pict>
          <v:rect style="width:0;height:1.5pt" o:hralign="center" o:hrstd="t" o:hr="t"/>
        </w:pict>
      </w:r>
    </w:p>
    <w:bookmarkEnd w:id="46"/>
    <w:bookmarkEnd w:id="47"/>
    <w:bookmarkStart w:id="56" w:name="análisis-de-componentes-principales-pca"/>
    <w:p>
      <w:pPr>
        <w:pStyle w:val="Heading2"/>
      </w:pPr>
      <w:r>
        <w:t xml:space="preserve">6. Análisis de Componentes Principales (PCA)</w:t>
      </w:r>
    </w:p>
    <w:p>
      <w:pPr>
        <w:pStyle w:val="FirstParagraph"/>
      </w:pPr>
      <w:r>
        <w:t xml:space="preserve">El PCA se utiliza para reducir la dimensionalidad de la matriz de proporciones</w:t>
      </w:r>
      <w:r>
        <w:t xml:space="preserve"> </w:t>
      </w:r>
      <m:oMath>
        <m:r>
          <m:rPr>
            <m:sty m:val="b"/>
          </m:rPr>
          <m:t>P</m:t>
        </m:r>
      </m:oMath>
      <w:r>
        <w:t xml:space="preserve"> </w:t>
      </w:r>
      <w:r>
        <w:t xml:space="preserve">y representar en un plano bidimensional las diferencias configuracionales de las 30 observaciones liga-temporada.</w:t>
      </w:r>
    </w:p>
    <w:bookmarkStart w:id="49" w:name="Xbf0280fa8c43ada4537300b06cebbf6022094e5"/>
    <w:p>
      <w:pPr>
        <w:pStyle w:val="Heading3"/>
      </w:pPr>
      <w:r>
        <w:t xml:space="preserve">6.1. Cargas de los Componentes Principales (Loadings)</w:t>
      </w:r>
    </w:p>
    <w:p>
      <w:pPr>
        <w:pStyle w:val="FirstParagraph"/>
      </w:pPr>
      <w:r>
        <w:t xml:space="preserve">Para comprender la estructura geométrica del espacio configuracional, se calculan las cargas de las variables en los dos primeros componentes principales (PC1 y PC2), los cuales explican de forma conjunta el</w:t>
      </w:r>
      <w:r>
        <w:t xml:space="preserve"> </w:t>
      </w:r>
      <m:oMath>
        <m:r>
          <m:t>72.5</m:t>
        </m:r>
        <m:r>
          <m:rPr>
            <m:sty m:val="p"/>
          </m:rPr>
          <m:t>%</m:t>
        </m:r>
      </m:oMath>
      <w:r>
        <w:t xml:space="preserve"> </w:t>
      </w:r>
      <w:r>
        <w:t xml:space="preserve">de la varianza acumulada de la estructura de propiedad: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Modelo de Propiedad</w:t>
            </w:r>
          </w:p>
        </w:tc>
        <w:tc>
          <w:tcPr/>
          <w:p>
            <w:pPr>
              <w:pStyle w:val="Compact"/>
              <w:jc w:val="center"/>
            </w:pPr>
            <w:r>
              <w:t xml:space="preserve">Carga PC1 (</w:t>
            </w:r>
            <m:oMath>
              <m:r>
                <m:t>48.0</m:t>
              </m:r>
              <m:r>
                <m:rPr>
                  <m:sty m:val="p"/>
                </m:rPr>
                <m:t>%</m:t>
              </m:r>
            </m:oMath>
            <w:r>
              <w:t xml:space="preserve">)</w:t>
            </w:r>
          </w:p>
        </w:tc>
        <w:tc>
          <w:tcPr/>
          <w:p>
            <w:pPr>
              <w:pStyle w:val="Compact"/>
              <w:jc w:val="center"/>
            </w:pPr>
            <w:r>
              <w:t xml:space="preserve">Carga PC2 (</w:t>
            </w:r>
            <m:oMath>
              <m:r>
                <m:t>24.5</m:t>
              </m:r>
              <m:r>
                <m:rPr>
                  <m:sty m:val="p"/>
                </m:rPr>
                <m:t>%</m:t>
              </m:r>
            </m:oMath>
            <w:r>
              <w:t xml:space="preserve">)</w:t>
            </w:r>
          </w:p>
        </w:tc>
      </w:tr>
      <w:tr>
        <w:tc>
          <w:tcPr/>
          <w:p>
            <w:pPr>
              <w:pStyle w:val="Compact"/>
              <w:jc w:val="left"/>
            </w:pPr>
            <w:r>
              <w:rPr>
                <w:b/>
                <w:bCs/>
              </w:rPr>
              <w:t xml:space="preserve">Member-owned</w:t>
            </w:r>
            <w:r>
              <w:t xml:space="preserve"> </w:t>
            </w:r>
            <w:r>
              <w:t xml:space="preserve">(</w:t>
            </w:r>
            <w:r>
              <w:rPr>
                <w:rStyle w:val="VerbatimChar"/>
              </w:rPr>
              <w:t xml:space="preserve">prop_member-owned</w:t>
            </w:r>
            <w:r>
              <w:t xml:space="preserve">)</w:t>
            </w:r>
          </w:p>
        </w:tc>
        <w:tc>
          <w:tcPr/>
          <w:p>
            <w:pPr>
              <w:pStyle w:val="Compact"/>
              <w:jc w:val="center"/>
            </w:pPr>
            <m:oMath>
              <m:r>
                <m:rPr>
                  <m:sty m:val="p"/>
                </m:rPr>
                <m:t>−</m:t>
              </m:r>
              <m:r>
                <m:t>0.463</m:t>
              </m:r>
            </m:oMath>
          </w:p>
        </w:tc>
        <w:tc>
          <w:tcPr/>
          <w:p>
            <w:pPr>
              <w:pStyle w:val="Compact"/>
              <w:jc w:val="center"/>
            </w:pPr>
            <m:oMath>
              <m:r>
                <m:rPr>
                  <m:sty m:val="p"/>
                </m:rPr>
                <m:t>−</m:t>
              </m:r>
              <m:r>
                <m:t>0.247</m:t>
              </m:r>
            </m:oMath>
          </w:p>
        </w:tc>
      </w:tr>
      <w:tr>
        <w:tc>
          <w:tcPr/>
          <w:p>
            <w:pPr>
              <w:pStyle w:val="Compact"/>
              <w:jc w:val="left"/>
            </w:pPr>
            <w:r>
              <w:rPr>
                <w:b/>
                <w:bCs/>
              </w:rPr>
              <w:t xml:space="preserve">Domestic private</w:t>
            </w:r>
            <w:r>
              <w:t xml:space="preserve"> </w:t>
            </w:r>
            <w:r>
              <w:t xml:space="preserve">(</w:t>
            </w:r>
            <w:r>
              <w:rPr>
                <w:rStyle w:val="VerbatimChar"/>
              </w:rPr>
              <w:t xml:space="preserve">prop_domestic private</w:t>
            </w:r>
            <w:r>
              <w:t xml:space="preserve">)</w:t>
            </w:r>
          </w:p>
        </w:tc>
        <w:tc>
          <w:tcPr/>
          <w:p>
            <w:pPr>
              <w:pStyle w:val="Compact"/>
              <w:jc w:val="center"/>
            </w:pPr>
            <m:oMath>
              <m:r>
                <m:rPr>
                  <m:sty m:val="p"/>
                </m:rPr>
                <m:t>+</m:t>
              </m:r>
              <m:r>
                <m:t>0.448</m:t>
              </m:r>
            </m:oMath>
          </w:p>
        </w:tc>
        <w:tc>
          <w:tcPr/>
          <w:p>
            <w:pPr>
              <w:pStyle w:val="Compact"/>
              <w:jc w:val="center"/>
            </w:pPr>
            <m:oMath>
              <m:r>
                <m:rPr>
                  <m:sty m:val="p"/>
                </m:rPr>
                <m:t>−</m:t>
              </m:r>
              <m:r>
                <m:t>0.270</m:t>
              </m:r>
            </m:oMath>
          </w:p>
        </w:tc>
      </w:tr>
      <w:tr>
        <w:tc>
          <w:tcPr/>
          <w:p>
            <w:pPr>
              <w:pStyle w:val="Compact"/>
              <w:jc w:val="left"/>
            </w:pPr>
            <w:r>
              <w:rPr>
                <w:b/>
                <w:bCs/>
              </w:rPr>
              <w:t xml:space="preserve">Foreign private</w:t>
            </w:r>
            <w:r>
              <w:t xml:space="preserve"> </w:t>
            </w:r>
            <w:r>
              <w:t xml:space="preserve">(</w:t>
            </w:r>
            <w:r>
              <w:rPr>
                <w:rStyle w:val="VerbatimChar"/>
              </w:rPr>
              <w:t xml:space="preserve">prop_foreign private</w:t>
            </w:r>
            <w:r>
              <w:t xml:space="preserve">)</w:t>
            </w:r>
          </w:p>
        </w:tc>
        <w:tc>
          <w:tcPr/>
          <w:p>
            <w:pPr>
              <w:pStyle w:val="Compact"/>
              <w:jc w:val="center"/>
            </w:pPr>
            <m:oMath>
              <m:r>
                <m:rPr>
                  <m:sty m:val="p"/>
                </m:rPr>
                <m:t>+</m:t>
              </m:r>
              <m:r>
                <m:t>0.441</m:t>
              </m:r>
            </m:oMath>
          </w:p>
        </w:tc>
        <w:tc>
          <w:tcPr/>
          <w:p>
            <w:pPr>
              <w:pStyle w:val="Compact"/>
              <w:jc w:val="center"/>
            </w:pPr>
            <m:oMath>
              <m:r>
                <m:rPr>
                  <m:sty m:val="p"/>
                </m:rPr>
                <m:t>+</m:t>
              </m:r>
              <m:r>
                <m:t>0.143</m:t>
              </m:r>
            </m:oMath>
          </w:p>
        </w:tc>
      </w:tr>
      <w:tr>
        <w:tc>
          <w:tcPr/>
          <w:p>
            <w:pPr>
              <w:pStyle w:val="Compact"/>
              <w:jc w:val="left"/>
            </w:pPr>
            <w:r>
              <w:rPr>
                <w:b/>
                <w:bCs/>
              </w:rPr>
              <w:t xml:space="preserve">Investment fund</w:t>
            </w:r>
            <w:r>
              <w:t xml:space="preserve"> </w:t>
            </w:r>
            <w:r>
              <w:t xml:space="preserve">(</w:t>
            </w:r>
            <w:r>
              <w:rPr>
                <w:rStyle w:val="VerbatimChar"/>
              </w:rPr>
              <w:t xml:space="preserve">prop_investment fund</w:t>
            </w:r>
            <w:r>
              <w:t xml:space="preserve">)</w:t>
            </w:r>
          </w:p>
        </w:tc>
        <w:tc>
          <w:tcPr/>
          <w:p>
            <w:pPr>
              <w:pStyle w:val="Compact"/>
              <w:jc w:val="center"/>
            </w:pPr>
            <m:oMath>
              <m:r>
                <m:rPr>
                  <m:sty m:val="p"/>
                </m:rPr>
                <m:t>+</m:t>
              </m:r>
              <m:r>
                <m:t>0.484</m:t>
              </m:r>
            </m:oMath>
          </w:p>
        </w:tc>
        <w:tc>
          <w:tcPr/>
          <w:p>
            <w:pPr>
              <w:pStyle w:val="Compact"/>
              <w:jc w:val="center"/>
            </w:pPr>
            <m:oMath>
              <m:r>
                <m:rPr>
                  <m:sty m:val="p"/>
                </m:rPr>
                <m:t>+</m:t>
              </m:r>
              <m:r>
                <m:t>0.086</m:t>
              </m:r>
            </m:oMath>
          </w:p>
        </w:tc>
      </w:tr>
      <w:tr>
        <w:tc>
          <w:tcPr/>
          <w:p>
            <w:pPr>
              <w:pStyle w:val="Compact"/>
              <w:jc w:val="left"/>
            </w:pPr>
            <w:r>
              <w:rPr>
                <w:b/>
                <w:bCs/>
              </w:rPr>
              <w:t xml:space="preserve">Hybrid</w:t>
            </w:r>
            <w:r>
              <w:t xml:space="preserve"> </w:t>
            </w:r>
            <w:r>
              <w:t xml:space="preserve">(</w:t>
            </w:r>
            <w:r>
              <w:rPr>
                <w:rStyle w:val="VerbatimChar"/>
              </w:rPr>
              <w:t xml:space="preserve">prop_hybrid</w:t>
            </w:r>
            <w:r>
              <w:t xml:space="preserve">)</w:t>
            </w:r>
          </w:p>
        </w:tc>
        <w:tc>
          <w:tcPr/>
          <w:p>
            <w:pPr>
              <w:pStyle w:val="Compact"/>
              <w:jc w:val="center"/>
            </w:pPr>
            <m:oMath>
              <m:r>
                <m:rPr>
                  <m:sty m:val="p"/>
                </m:rPr>
                <m:t>−</m:t>
              </m:r>
              <m:r>
                <m:t>0.359</m:t>
              </m:r>
            </m:oMath>
          </w:p>
        </w:tc>
        <w:tc>
          <w:tcPr/>
          <w:p>
            <w:pPr>
              <w:pStyle w:val="Compact"/>
              <w:jc w:val="center"/>
            </w:pPr>
            <m:oMath>
              <m:r>
                <m:rPr>
                  <m:sty m:val="p"/>
                </m:rPr>
                <m:t>+</m:t>
              </m:r>
              <m:r>
                <m:t>0.279</m:t>
              </m:r>
            </m:oMath>
          </w:p>
        </w:tc>
      </w:tr>
      <w:tr>
        <w:tc>
          <w:tcPr/>
          <w:p>
            <w:pPr>
              <w:pStyle w:val="Compact"/>
              <w:jc w:val="left"/>
            </w:pPr>
            <w:r>
              <w:rPr>
                <w:b/>
                <w:bCs/>
              </w:rPr>
              <w:t xml:space="preserve">Corporate-MCO</w:t>
            </w:r>
            <w:r>
              <w:t xml:space="preserve"> </w:t>
            </w:r>
            <w:r>
              <w:t xml:space="preserve">(</w:t>
            </w:r>
            <w:r>
              <w:rPr>
                <w:rStyle w:val="VerbatimChar"/>
              </w:rPr>
              <w:t xml:space="preserve">prop_corporate-MCO</w:t>
            </w:r>
            <w:r>
              <w:t xml:space="preserve">)</w:t>
            </w:r>
          </w:p>
        </w:tc>
        <w:tc>
          <w:tcPr/>
          <w:p>
            <w:pPr>
              <w:pStyle w:val="Compact"/>
              <w:jc w:val="center"/>
            </w:pPr>
            <m:oMath>
              <m:r>
                <m:rPr>
                  <m:sty m:val="p"/>
                </m:rPr>
                <m:t>+</m:t>
              </m:r>
              <m:r>
                <m:t>0.040</m:t>
              </m:r>
            </m:oMath>
          </w:p>
        </w:tc>
        <w:tc>
          <w:tcPr/>
          <w:p>
            <w:pPr>
              <w:pStyle w:val="Compact"/>
              <w:jc w:val="center"/>
            </w:pPr>
            <m:oMath>
              <m:r>
                <m:rPr>
                  <m:sty m:val="p"/>
                </m:rPr>
                <m:t>+</m:t>
              </m:r>
              <m:r>
                <m:t>0.630</m:t>
              </m:r>
            </m:oMath>
          </w:p>
        </w:tc>
      </w:tr>
      <w:tr>
        <w:tc>
          <w:tcPr/>
          <w:p>
            <w:pPr>
              <w:pStyle w:val="Compact"/>
              <w:jc w:val="left"/>
            </w:pPr>
            <w:r>
              <w:rPr>
                <w:b/>
                <w:bCs/>
              </w:rPr>
              <w:t xml:space="preserve">State-linked</w:t>
            </w:r>
            <w:r>
              <w:t xml:space="preserve"> </w:t>
            </w:r>
            <w:r>
              <w:t xml:space="preserve">(</w:t>
            </w:r>
            <w:r>
              <w:rPr>
                <w:rStyle w:val="VerbatimChar"/>
              </w:rPr>
              <w:t xml:space="preserve">prop_state-linked</w:t>
            </w:r>
            <w:r>
              <w:t xml:space="preserve">)</w:t>
            </w:r>
          </w:p>
        </w:tc>
        <w:tc>
          <w:tcPr/>
          <w:p>
            <w:pPr>
              <w:pStyle w:val="Compact"/>
              <w:jc w:val="center"/>
            </w:pPr>
            <m:oMath>
              <m:r>
                <m:rPr>
                  <m:sty m:val="p"/>
                </m:rPr>
                <m:t>−</m:t>
              </m:r>
              <m:r>
                <m:t>0.134</m:t>
              </m:r>
            </m:oMath>
          </w:p>
        </w:tc>
        <w:tc>
          <w:tcPr/>
          <w:p>
            <w:pPr>
              <w:pStyle w:val="Compact"/>
              <w:jc w:val="center"/>
            </w:pPr>
            <m:oMath>
              <m:r>
                <m:rPr>
                  <m:sty m:val="p"/>
                </m:rPr>
                <m:t>+</m:t>
              </m:r>
              <m:r>
                <m:t>0.445</m:t>
              </m:r>
            </m:oMath>
          </w:p>
        </w:tc>
      </w:tr>
      <w:tr>
        <w:tc>
          <w:tcPr/>
          <w:p>
            <w:pPr>
              <w:pStyle w:val="Compact"/>
              <w:jc w:val="left"/>
            </w:pPr>
            <w:r>
              <w:rPr>
                <w:b/>
                <w:bCs/>
              </w:rPr>
              <w:t xml:space="preserve">Unknown</w:t>
            </w:r>
            <w:r>
              <w:t xml:space="preserve"> </w:t>
            </w:r>
            <w:r>
              <w:t xml:space="preserve">(</w:t>
            </w:r>
            <w:r>
              <w:rPr>
                <w:rStyle w:val="VerbatimChar"/>
              </w:rPr>
              <w:t xml:space="preserve">prop_unknown</w:t>
            </w:r>
            <w:r>
              <w:t xml:space="preserve">)</w:t>
            </w:r>
          </w:p>
        </w:tc>
        <w:tc>
          <w:tcPr/>
          <w:p>
            <w:pPr>
              <w:pStyle w:val="Compact"/>
              <w:jc w:val="center"/>
            </w:pPr>
            <m:oMath>
              <m:r>
                <m:rPr>
                  <m:sty m:val="p"/>
                </m:rPr>
                <m:t>−</m:t>
              </m:r>
              <m:r>
                <m:t>0.091</m:t>
              </m:r>
            </m:oMath>
          </w:p>
        </w:tc>
        <w:tc>
          <w:tcPr/>
          <w:p>
            <w:pPr>
              <w:pStyle w:val="Compact"/>
              <w:jc w:val="center"/>
            </w:pPr>
            <m:oMath>
              <m:r>
                <m:rPr>
                  <m:sty m:val="p"/>
                </m:rPr>
                <m:t>−</m:t>
              </m:r>
              <m:r>
                <m:t>0.406</m:t>
              </m:r>
            </m:oMath>
          </w:p>
        </w:tc>
      </w:tr>
    </w:tbl>
    <w:bookmarkStart w:id="48" w:name="interpretación-de-las-dimensiones"/>
    <w:p>
      <w:pPr>
        <w:pStyle w:val="Heading4"/>
      </w:pPr>
      <w:r>
        <w:t xml:space="preserve">Interpretación de las Dimensiones:</w:t>
      </w:r>
    </w:p>
    <w:p>
      <w:pPr>
        <w:pStyle w:val="Compact"/>
        <w:numPr>
          <w:ilvl w:val="0"/>
          <w:numId w:val="1014"/>
        </w:numPr>
      </w:pPr>
      <w:r>
        <w:rPr>
          <w:b/>
          <w:bCs/>
        </w:rPr>
        <w:t xml:space="preserve">Componente Principal 1 (PC1 - Eje de Internacionalización y Financiarización)</w:t>
      </w:r>
      <w:r>
        <w:t xml:space="preserve">: Este eje (que explica el</w:t>
      </w:r>
      <w:r>
        <w:t xml:space="preserve"> </w:t>
      </w:r>
      <m:oMath>
        <m:r>
          <m:t>48.0</m:t>
        </m:r>
        <m:r>
          <m:rPr>
            <m:sty m:val="p"/>
          </m:rPr>
          <m:t>%</m:t>
        </m:r>
      </m:oMath>
      <w:r>
        <w:t xml:space="preserve"> </w:t>
      </w:r>
      <w:r>
        <w:t xml:space="preserve">de la varianza) discrimina entre modelos basados en el capital financiero e internacional y aquellos de control social y tradicional. Los valores</w:t>
      </w:r>
      <w:r>
        <w:t xml:space="preserve"> </w:t>
      </w:r>
      <w:r>
        <w:rPr>
          <w:b/>
          <w:bCs/>
        </w:rPr>
        <w:t xml:space="preserve">positivos</w:t>
      </w:r>
      <w:r>
        <w:t xml:space="preserve"> </w:t>
      </w:r>
      <w:r>
        <w:t xml:space="preserve">en este eje están determinados por lógicas comerciales avanzadas: fondos de inversión (</w:t>
      </w:r>
      <m:oMath>
        <m:r>
          <m:rPr>
            <m:sty m:val="p"/>
          </m:rPr>
          <m:t>+</m:t>
        </m:r>
        <m:r>
          <m:t>0.484</m:t>
        </m:r>
      </m:oMath>
      <w:r>
        <w:t xml:space="preserve">), capital privado nacional (</w:t>
      </w:r>
      <m:oMath>
        <m:r>
          <m:rPr>
            <m:sty m:val="p"/>
          </m:rPr>
          <m:t>+</m:t>
        </m:r>
        <m:r>
          <m:t>0.448</m:t>
        </m:r>
      </m:oMath>
      <w:r>
        <w:t xml:space="preserve">) y capital privado extranjero (</w:t>
      </w:r>
      <m:oMath>
        <m:r>
          <m:rPr>
            <m:sty m:val="p"/>
          </m:rPr>
          <m:t>+</m:t>
        </m:r>
        <m:r>
          <m:t>0.441</m:t>
        </m:r>
      </m:oMath>
      <w:r>
        <w:t xml:space="preserve">). Por el contrario, los valores</w:t>
      </w:r>
      <w:r>
        <w:t xml:space="preserve"> </w:t>
      </w:r>
      <w:r>
        <w:rPr>
          <w:b/>
          <w:bCs/>
        </w:rPr>
        <w:t xml:space="preserve">negativos</w:t>
      </w:r>
      <w:r>
        <w:t xml:space="preserve"> </w:t>
      </w:r>
      <w:r>
        <w:t xml:space="preserve">representan el blindaje de la gobernanza asociativa: clubes de socios (</w:t>
      </w:r>
      <m:oMath>
        <m:r>
          <m:rPr>
            <m:sty m:val="p"/>
          </m:rPr>
          <m:t>−</m:t>
        </m:r>
        <m:r>
          <m:t>0.463</m:t>
        </m:r>
      </m:oMath>
      <w:r>
        <w:t xml:space="preserve">) y modelos mixtos híbridos (</w:t>
      </w:r>
      <m:oMath>
        <m:r>
          <m:rPr>
            <m:sty m:val="p"/>
          </m:rPr>
          <m:t>−</m:t>
        </m:r>
        <m:r>
          <m:t>0.359</m:t>
        </m:r>
      </m:oMath>
      <w:r>
        <w:t xml:space="preserve">).</w:t>
      </w:r>
    </w:p>
    <w:p>
      <w:pPr>
        <w:pStyle w:val="Compact"/>
        <w:numPr>
          <w:ilvl w:val="0"/>
          <w:numId w:val="1014"/>
        </w:numPr>
      </w:pPr>
      <w:r>
        <w:rPr>
          <w:b/>
          <w:bCs/>
        </w:rPr>
        <w:t xml:space="preserve">Componente Principal 2 (PC2 - Eje de Estructuras Transnacionales y Geopolíticas)</w:t>
      </w:r>
      <w:r>
        <w:t xml:space="preserve">: Este eje (que explica el</w:t>
      </w:r>
      <w:r>
        <w:t xml:space="preserve"> </w:t>
      </w:r>
      <m:oMath>
        <m:r>
          <m:t>24.5</m:t>
        </m:r>
        <m:r>
          <m:rPr>
            <m:sty m:val="p"/>
          </m:rPr>
          <m:t>%</m:t>
        </m:r>
      </m:oMath>
      <w:r>
        <w:t xml:space="preserve"> </w:t>
      </w:r>
      <w:r>
        <w:t xml:space="preserve">de la varianza) separa las ligas que albergan estructuras de propiedad complejas integradas en redes supra-club de aquellas compuestas por entidades uniclub tradicionales. Los valores</w:t>
      </w:r>
      <w:r>
        <w:t xml:space="preserve"> </w:t>
      </w:r>
      <w:r>
        <w:rPr>
          <w:b/>
          <w:bCs/>
        </w:rPr>
        <w:t xml:space="preserve">positivos</w:t>
      </w:r>
      <w:r>
        <w:t xml:space="preserve"> </w:t>
      </w:r>
      <w:r>
        <w:t xml:space="preserve">corresponden a estructuras corporativas de multipropiedad (</w:t>
      </w:r>
      <w:r>
        <w:rPr>
          <w:rStyle w:val="VerbatimChar"/>
        </w:rPr>
        <w:t xml:space="preserve">corporate-MCO</w:t>
      </w:r>
      <w:r>
        <w:t xml:space="preserve">:</w:t>
      </w:r>
      <w:r>
        <w:t xml:space="preserve"> </w:t>
      </w:r>
      <m:oMath>
        <m:r>
          <m:rPr>
            <m:sty m:val="p"/>
          </m:rPr>
          <m:t>+</m:t>
        </m:r>
        <m:r>
          <m:t>0.630</m:t>
        </m:r>
      </m:oMath>
      <w:r>
        <w:t xml:space="preserve">) y vehículos con vínculos estatales o geopolíticos soberanos (</w:t>
      </w:r>
      <w:r>
        <w:rPr>
          <w:rStyle w:val="VerbatimChar"/>
        </w:rPr>
        <w:t xml:space="preserve">state-linked</w:t>
      </w:r>
      <w:r>
        <w:t xml:space="preserve">:</w:t>
      </w:r>
      <w:r>
        <w:t xml:space="preserve"> </w:t>
      </w:r>
      <m:oMath>
        <m:r>
          <m:rPr>
            <m:sty m:val="p"/>
          </m:rPr>
          <m:t>+</m:t>
        </m:r>
        <m:r>
          <m:t>0.445</m:t>
        </m:r>
      </m:oMath>
      <w:r>
        <w:t xml:space="preserve">). Los valores</w:t>
      </w:r>
      <w:r>
        <w:t xml:space="preserve"> </w:t>
      </w:r>
      <w:r>
        <w:rPr>
          <w:b/>
          <w:bCs/>
        </w:rPr>
        <w:t xml:space="preserve">negativos</w:t>
      </w:r>
      <w:r>
        <w:t xml:space="preserve"> </w:t>
      </w:r>
      <w:r>
        <w:t xml:space="preserve">señalan la dominancia de clubes individuales independientes y tradicionales (</w:t>
      </w:r>
      <w:r>
        <w:rPr>
          <w:rStyle w:val="VerbatimChar"/>
        </w:rPr>
        <w:t xml:space="preserve">unknown</w:t>
      </w:r>
      <w:r>
        <w:t xml:space="preserve">:</w:t>
      </w:r>
      <w:r>
        <w:t xml:space="preserve"> </w:t>
      </w:r>
      <m:oMath>
        <m:r>
          <m:rPr>
            <m:sty m:val="p"/>
          </m:rPr>
          <m:t>−</m:t>
        </m:r>
        <m:r>
          <m:t>0.406</m:t>
        </m:r>
      </m:oMath>
      <w:r>
        <w:t xml:space="preserve">,</w:t>
      </w:r>
      <w:r>
        <w:t xml:space="preserve"> </w:t>
      </w:r>
      <w:r>
        <w:rPr>
          <w:rStyle w:val="VerbatimChar"/>
        </w:rPr>
        <w:t xml:space="preserve">domestic private</w:t>
      </w:r>
      <w:r>
        <w:t xml:space="preserve">:</w:t>
      </w:r>
      <w:r>
        <w:t xml:space="preserve"> </w:t>
      </w:r>
      <m:oMath>
        <m:r>
          <m:rPr>
            <m:sty m:val="p"/>
          </m:rPr>
          <m:t>−</m:t>
        </m:r>
        <m:r>
          <m:t>0.270</m:t>
        </m:r>
      </m:oMath>
      <w:r>
        <w:t xml:space="preserve">, y</w:t>
      </w:r>
      <w:r>
        <w:t xml:space="preserve"> </w:t>
      </w:r>
      <w:r>
        <w:rPr>
          <w:rStyle w:val="VerbatimChar"/>
        </w:rPr>
        <w:t xml:space="preserve">member-owned</w:t>
      </w:r>
      <w:r>
        <w:t xml:space="preserve">:</w:t>
      </w:r>
      <w:r>
        <w:t xml:space="preserve"> </w:t>
      </w:r>
      <m:oMath>
        <m:r>
          <m:rPr>
            <m:sty m:val="p"/>
          </m:rPr>
          <m:t>−</m:t>
        </m:r>
        <m:r>
          <m:t>0.247</m:t>
        </m:r>
      </m:oMath>
      <w:r>
        <w:t xml:space="preserve">).</w:t>
      </w:r>
    </w:p>
    <w:p>
      <w:r>
        <w:pict>
          <v:rect style="width:0;height:1.5pt" o:hralign="center" o:hrstd="t" o:hr="t"/>
        </w:pict>
      </w:r>
    </w:p>
    <w:bookmarkEnd w:id="48"/>
    <w:bookmarkEnd w:id="49"/>
    <w:bookmarkStart w:id="50" w:name="X827b1da1e78d2febaa15df12b030dbec954e385"/>
    <w:p>
      <w:pPr>
        <w:pStyle w:val="Heading3"/>
      </w:pPr>
      <w:r>
        <w:t xml:space="preserve">6.2. Espacio Configuracional: Definición de los Cuadrantes</w:t>
      </w:r>
    </w:p>
    <w:p>
      <w:pPr>
        <w:pStyle w:val="FirstParagraph"/>
      </w:pPr>
      <w:r>
        <w:t xml:space="preserve">La intersección de los ejes PC1 y PC2 delimita</w:t>
      </w:r>
      <w:r>
        <w:t xml:space="preserve"> </w:t>
      </w:r>
      <w:r>
        <w:rPr>
          <w:b/>
          <w:bCs/>
        </w:rPr>
        <w:t xml:space="preserve">cuatro cuadrantes configuracionales</w:t>
      </w:r>
      <w:r>
        <w:t xml:space="preserve"> </w:t>
      </w:r>
      <w:r>
        <w:t xml:space="preserve">bien definidos que representan diferentes lógicas competitivas y modelos de negocio:</w:t>
      </w:r>
    </w:p>
    <w:p>
      <w:pPr>
        <w:pStyle w:val="Compact"/>
        <w:numPr>
          <w:ilvl w:val="0"/>
          <w:numId w:val="1015"/>
        </w:numPr>
      </w:pPr>
      <w:r>
        <w:rPr>
          <w:b/>
          <w:bCs/>
        </w:rPr>
        <w:t xml:space="preserve">Cuadrante I (Superior Derecho: PC1 &gt; 0, PC2 &gt; 0) - Financiarización Transnacional MCO</w:t>
      </w:r>
      <w:r>
        <w:t xml:space="preserve">: Representa paisajes de propiedad altamente financiarizados (fondos de inversión, propietarios extranjeros) que además están integrados de forma masiva en redes multipropiedad (MCO) o bajo la influencia directa de estados soberanos. Es el cuadrante de la globalización corporativa y las marcas globales.</w:t>
      </w:r>
    </w:p>
    <w:p>
      <w:pPr>
        <w:pStyle w:val="Compact"/>
        <w:numPr>
          <w:ilvl w:val="0"/>
          <w:numId w:val="1015"/>
        </w:numPr>
      </w:pPr>
      <w:r>
        <w:rPr>
          <w:b/>
          <w:bCs/>
        </w:rPr>
        <w:t xml:space="preserve">Cuadrante II (Superior Izquierdo: PC1 &lt; 0, PC2 &gt; 0) - Híbrido / Colectivo con Redes</w:t>
      </w:r>
      <w:r>
        <w:t xml:space="preserve">: Representa paisajes de propiedad que conservan una fuerte base de control social o democrático local (valores negativos de PC1) pero que incorporan lógicas corporativas superiores, participación híbrida o una penetración moderada de redes de multipropiedad (valores positivos de PC2). LaLiga española (debido a su fuerte presencia de clubes híbridos y de socios, combinada con compras controladas de MCO como el Girona) y la Premier League en sus años de menor financiarización extrema se ubican en este cuadrante.</w:t>
      </w:r>
    </w:p>
    <w:p>
      <w:pPr>
        <w:pStyle w:val="Compact"/>
        <w:numPr>
          <w:ilvl w:val="0"/>
          <w:numId w:val="1015"/>
        </w:numPr>
      </w:pPr>
      <w:r>
        <w:rPr>
          <w:b/>
          <w:bCs/>
        </w:rPr>
        <w:t xml:space="preserve">Cuadrante III (Inferior Izquierdo: PC1 &lt; 0, PC2 &lt; 0) - Democrático y Tradicional Uniclub</w:t>
      </w:r>
      <w:r>
        <w:t xml:space="preserve">: Representa el modelo clásico del fútbol europeo: clubes gobernados democráticamente por sus socios locales que operan de forma independiente como entidades locales individuales, aislados de multipropiedades transnacionales o vehículos soberanos.</w:t>
      </w:r>
    </w:p>
    <w:p>
      <w:pPr>
        <w:pStyle w:val="Compact"/>
        <w:numPr>
          <w:ilvl w:val="0"/>
          <w:numId w:val="1015"/>
        </w:numPr>
      </w:pPr>
      <w:r>
        <w:rPr>
          <w:b/>
          <w:bCs/>
        </w:rPr>
        <w:t xml:space="preserve">Cuadrante IV (Inferior Derecho: PC1 &gt; 0, PC2 &lt; 0) - Privatización Comercial Uniclub</w:t>
      </w:r>
      <w:r>
        <w:t xml:space="preserve">: Ligas dominadas por propietarios privados (nacionales o extranjeros) y vehículos financieros institucionales, pero estructuradas en torno a clubes que actúan como entidades comerciales independientes y de cartera individual, sin agregarse en grandes redes MCO transnacionales.</w:t>
      </w:r>
    </w:p>
    <w:p>
      <w:r>
        <w:pict>
          <v:rect style="width:0;height:1.5pt" o:hralign="center" o:hrstd="t" o:hr="t"/>
        </w:pict>
      </w:r>
    </w:p>
    <w:bookmarkEnd w:id="50"/>
    <w:bookmarkStart w:id="54" w:name="X331d23d697f8a3c82e062d5b7a999b95c1e8849"/>
    <w:p>
      <w:pPr>
        <w:pStyle w:val="Heading3"/>
      </w:pPr>
      <w:r>
        <w:t xml:space="preserve">6.3. Análisis de Trayectorias y Cambios de Cuadrante (2019-2024)</w:t>
      </w:r>
    </w:p>
    <w:p>
      <w:pPr>
        <w:pStyle w:val="FirstParagraph"/>
      </w:pPr>
      <w:r>
        <w:t xml:space="preserve">Proyectando las coordenadas (</w:t>
      </w:r>
      <w:r>
        <w:rPr>
          <w:i/>
          <w:iCs/>
        </w:rPr>
        <w:t xml:space="preserve">scores</w:t>
      </w:r>
      <w:r>
        <w:t xml:space="preserve">) de las 30 observaciones liga-temporada en este plano, visualizamos las trayectorias longitudinales mediante vectores direccionales (flechas) de 2019 a 2024:</w:t>
      </w:r>
    </w:p>
    <w:p>
      <w:pPr>
        <w:pStyle w:val="CaptionedFigure"/>
      </w:pPr>
      <w:r>
        <w:drawing>
          <wp:inline>
            <wp:extent cx="5334000" cy="3615437"/>
            <wp:effectExtent b="0" l="0" r="0" t="0"/>
            <wp:docPr descr="Historical Configurational Trajectories of Ownership Landscapes (PCA 2019-2024)" title="" id="52" name="Picture"/>
            <a:graphic>
              <a:graphicData uri="http://schemas.openxmlformats.org/drawingml/2006/picture">
                <pic:pic>
                  <pic:nvPicPr>
                    <pic:cNvPr descr="../images/pca_trajectories.png" id="53" name="Picture"/>
                    <pic:cNvPicPr>
                      <a:picLocks noChangeArrowheads="1" noChangeAspect="1"/>
                    </pic:cNvPicPr>
                  </pic:nvPicPr>
                  <pic:blipFill>
                    <a:blip r:embed="rId51"/>
                    <a:stretch>
                      <a:fillRect/>
                    </a:stretch>
                  </pic:blipFill>
                  <pic:spPr bwMode="auto">
                    <a:xfrm>
                      <a:off x="0" y="0"/>
                      <a:ext cx="5334000" cy="3615437"/>
                    </a:xfrm>
                    <a:prstGeom prst="rect">
                      <a:avLst/>
                    </a:prstGeom>
                    <a:noFill/>
                    <a:ln w="9525">
                      <a:noFill/>
                      <a:headEnd/>
                      <a:tailEnd/>
                    </a:ln>
                  </pic:spPr>
                </pic:pic>
              </a:graphicData>
            </a:graphic>
          </wp:inline>
        </w:drawing>
      </w:r>
    </w:p>
    <w:p>
      <w:pPr>
        <w:pStyle w:val="ImageCaption"/>
      </w:pPr>
      <w:r>
        <w:t xml:space="preserve">Historical Configurational Trajectories of Ownership Landscapes (PCA 2019-2024)</w:t>
      </w:r>
    </w:p>
    <w:p>
      <w:pPr>
        <w:pStyle w:val="BodyText"/>
      </w:pPr>
      <w:r>
        <w:t xml:space="preserve">A través del mapa bidimensional, se devela la existencia de senderos evolutivos dependientes de la trayectoria (</w:t>
      </w:r>
      <w:r>
        <w:rPr>
          <w:i/>
          <w:iCs/>
        </w:rPr>
        <w:t xml:space="preserve">path dependency</w:t>
      </w:r>
      <w:r>
        <w:t xml:space="preserve">) de cada liga:</w:t>
      </w:r>
    </w:p>
    <w:p>
      <w:pPr>
        <w:pStyle w:val="Compact"/>
        <w:numPr>
          <w:ilvl w:val="0"/>
          <w:numId w:val="1016"/>
        </w:numPr>
      </w:pPr>
      <w:r>
        <w:rPr>
          <w:b/>
          <w:bCs/>
        </w:rPr>
        <w:t xml:space="preserve">Bundesliga (Estabilidad Absoluta en el Cuadrante III)</w:t>
      </w:r>
      <w:r>
        <w:t xml:space="preserve">: Inmóvil en la esquina inferior izquierda del plano (PC1</w:t>
      </w:r>
      <w:r>
        <w:t xml:space="preserve"> </w:t>
      </w:r>
      <m:oMath>
        <m:r>
          <m:rPr>
            <m:sty m:val="p"/>
          </m:rPr>
          <m:t>≈</m:t>
        </m:r>
        <m:r>
          <m:rPr>
            <m:sty m:val="p"/>
          </m:rPr>
          <m:t>−</m:t>
        </m:r>
        <m:r>
          <m:t>3.3</m:t>
        </m:r>
      </m:oMath>
      <w:r>
        <w:t xml:space="preserve"> </w:t>
      </w:r>
      <w:r>
        <w:t xml:space="preserve">y PC2 subiendo ligeramente de</w:t>
      </w:r>
      <w:r>
        <w:t xml:space="preserve"> </w:t>
      </w:r>
      <m:oMath>
        <m:r>
          <m:rPr>
            <m:sty m:val="p"/>
          </m:rPr>
          <m:t>−</m:t>
        </m:r>
        <m:r>
          <m:t>1.18</m:t>
        </m:r>
      </m:oMath>
      <w:r>
        <w:t xml:space="preserve"> </w:t>
      </w:r>
      <w:r>
        <w:t xml:space="preserve">a</w:t>
      </w:r>
      <w:r>
        <w:t xml:space="preserve"> </w:t>
      </w:r>
      <m:oMath>
        <m:r>
          <m:rPr>
            <m:sty m:val="p"/>
          </m:rPr>
          <m:t>−</m:t>
        </m:r>
        <m:r>
          <m:t>0.51</m:t>
        </m:r>
      </m:oMath>
      <w:r>
        <w:t xml:space="preserve">). Esto demuestra la extraordinaria efectividad institucional de la regla del 50+1 como blindaje contra la entrada de capital de riesgo y la multipropiedad transnacional, manteniendo su landscape bajo el modelo tradicional democrático y uniclub.</w:t>
      </w:r>
    </w:p>
    <w:p>
      <w:pPr>
        <w:pStyle w:val="Compact"/>
        <w:numPr>
          <w:ilvl w:val="0"/>
          <w:numId w:val="1016"/>
        </w:numPr>
      </w:pPr>
      <w:r>
        <w:rPr>
          <w:b/>
          <w:bCs/>
        </w:rPr>
        <w:t xml:space="preserve">LaLiga (Oscilación entre los Cuadrantes II y III)</w:t>
      </w:r>
      <w:r>
        <w:t xml:space="preserve">: Se desplaza exclusivamente en la mitad izquierda del plano (PC1 siempre negativo), oscilando entre el Cuadrante II y el Cuadrante III. Inicia en 2019 en el Cuadrante II (</w:t>
      </w:r>
      <m:oMath>
        <m:r>
          <m:t>y</m:t>
        </m:r>
        <m:r>
          <m:rPr>
            <m:sty m:val="p"/>
          </m:rPr>
          <m:t>=</m:t>
        </m:r>
        <m:r>
          <m:rPr>
            <m:sty m:val="p"/>
          </m:rPr>
          <m:t>+</m:t>
        </m:r>
        <m:r>
          <m:t>0.21</m:t>
        </m:r>
      </m:oMath>
      <w:r>
        <w:t xml:space="preserve">), cae al Cuadrante III en 2020-2021 (alcanzando su punto más bajo en</w:t>
      </w:r>
      <w:r>
        <w:t xml:space="preserve"> </w:t>
      </w:r>
      <m:oMath>
        <m:r>
          <m:t>y</m:t>
        </m:r>
        <m:r>
          <m:rPr>
            <m:sty m:val="p"/>
          </m:rPr>
          <m:t>=</m:t>
        </m:r>
        <m:r>
          <m:rPr>
            <m:sty m:val="p"/>
          </m:rPr>
          <m:t>−</m:t>
        </m:r>
        <m:r>
          <m:t>0.50</m:t>
        </m:r>
      </m:oMath>
      <w:r>
        <w:t xml:space="preserve"> </w:t>
      </w:r>
      <w:r>
        <w:t xml:space="preserve">debido al ascenso de clubes tradicionales), y retorna al Cuadrante II en 2024 (</w:t>
      </w:r>
      <m:oMath>
        <m:r>
          <m:t>y</m:t>
        </m:r>
        <m:r>
          <m:rPr>
            <m:sty m:val="p"/>
          </m:rPr>
          <m:t>=</m:t>
        </m:r>
        <m:r>
          <m:rPr>
            <m:sty m:val="p"/>
          </m:rPr>
          <m:t>+</m:t>
        </m:r>
        <m:r>
          <m:t>0.17</m:t>
        </m:r>
      </m:oMath>
      <w:r>
        <w:t xml:space="preserve">). Sus clubes de socios actúan como un ancla estructural a la izquierda, preservando su carácter híbrido y socialmente arraigado.</w:t>
      </w:r>
    </w:p>
    <w:p>
      <w:pPr>
        <w:pStyle w:val="Compact"/>
        <w:numPr>
          <w:ilvl w:val="0"/>
          <w:numId w:val="1016"/>
        </w:numPr>
      </w:pPr>
      <w:r>
        <w:rPr>
          <w:b/>
          <w:bCs/>
        </w:rPr>
        <w:t xml:space="preserve">Premier League (Trayectoria en los Cuadrantes II y I)</w:t>
      </w:r>
      <w:r>
        <w:t xml:space="preserve">: Se mantiene de forma persistente en la parte superior del plano (PC2 &gt; 2.1) debido a su altísima tasa de multipropiedad, oscilando en el límite vertical (</w:t>
      </w:r>
      <m:oMath>
        <m:r>
          <m:t>P</m:t>
        </m:r>
        <m:r>
          <m:t>C</m:t>
        </m:r>
        <m:r>
          <m:t>1</m:t>
        </m:r>
        <m:r>
          <m:rPr>
            <m:sty m:val="p"/>
          </m:rPr>
          <m:t>=</m:t>
        </m:r>
        <m:r>
          <m:t>0</m:t>
        </m:r>
      </m:oMath>
      <w:r>
        <w:t xml:space="preserve">) entre el Cuadrante II y el Cuadrante I. Termina en 2024 consolidada en el Cuadrante I (</w:t>
      </w:r>
      <m:oMath>
        <m:r>
          <m:t>x</m:t>
        </m:r>
        <m:r>
          <m:rPr>
            <m:sty m:val="p"/>
          </m:rPr>
          <m:t>≈</m:t>
        </m:r>
        <m:r>
          <m:t>0.0</m:t>
        </m:r>
        <m:r>
          <m:rPr>
            <m:sty m:val="p"/>
          </m:rPr>
          <m:t>,</m:t>
        </m:r>
        <m:r>
          <m:t>y</m:t>
        </m:r>
        <m:r>
          <m:rPr>
            <m:sty m:val="p"/>
          </m:rPr>
          <m:t>=</m:t>
        </m:r>
        <m:r>
          <m:t>2.62</m:t>
        </m:r>
      </m:oMath>
      <w:r>
        <w:t xml:space="preserve">). Representa la financiarización globalizada sin retorno, combinando propiedad transnacional con control corporativo en red.</w:t>
      </w:r>
    </w:p>
    <w:p>
      <w:pPr>
        <w:pStyle w:val="Compact"/>
        <w:numPr>
          <w:ilvl w:val="0"/>
          <w:numId w:val="1016"/>
        </w:numPr>
      </w:pPr>
      <w:r>
        <w:rPr>
          <w:b/>
          <w:bCs/>
        </w:rPr>
        <w:t xml:space="preserve">Serie A (Ascenso dentro del Cuadrante IV)</w:t>
      </w:r>
      <w:r>
        <w:t xml:space="preserve">: Se ubica firmemente de principio a fin en el Cuadrante IV (PC1 &gt; 2.0, PC2 &lt; 0), pero muestra una clara trayectoria ascendente (subiendo desde</w:t>
      </w:r>
      <w:r>
        <w:t xml:space="preserve"> </w:t>
      </w:r>
      <m:oMath>
        <m:r>
          <m:t>y</m:t>
        </m:r>
        <m:r>
          <m:rPr>
            <m:sty m:val="p"/>
          </m:rPr>
          <m:t>=</m:t>
        </m:r>
        <m:r>
          <m:rPr>
            <m:sty m:val="p"/>
          </m:rPr>
          <m:t>−</m:t>
        </m:r>
        <m:r>
          <m:t>1.55</m:t>
        </m:r>
      </m:oMath>
      <w:r>
        <w:t xml:space="preserve"> </w:t>
      </w:r>
      <w:r>
        <w:t xml:space="preserve">en 2019 hasta</w:t>
      </w:r>
      <w:r>
        <w:t xml:space="preserve"> </w:t>
      </w:r>
      <m:oMath>
        <m:r>
          <m:t>y</m:t>
        </m:r>
        <m:r>
          <m:rPr>
            <m:sty m:val="p"/>
          </m:rPr>
          <m:t>=</m:t>
        </m:r>
        <m:r>
          <m:rPr>
            <m:sty m:val="p"/>
          </m:rPr>
          <m:t>−</m:t>
        </m:r>
        <m:r>
          <m:t>0.36</m:t>
        </m:r>
      </m:oMath>
      <w:r>
        <w:t xml:space="preserve"> </w:t>
      </w:r>
      <w:r>
        <w:t xml:space="preserve">en 2024). Esto refleja cómo el capital nacional tradicional está siendo reemplazado progresivamente por fondos de inversión internacionales (que inyectan capital comercial, elevando el PC2 de la liga) y ascensos de clubes bajo modelos privados corporativos.</w:t>
      </w:r>
    </w:p>
    <w:p>
      <w:pPr>
        <w:pStyle w:val="Compact"/>
        <w:numPr>
          <w:ilvl w:val="0"/>
          <w:numId w:val="1016"/>
        </w:numPr>
      </w:pPr>
      <w:r>
        <w:rPr>
          <w:b/>
          <w:bCs/>
        </w:rPr>
        <w:t xml:space="preserve">Ligue 1 (Cruces Dinámicos entre los Cuadrantes I y IV)</w:t>
      </w:r>
      <w:r>
        <w:t xml:space="preserve">: Es la liga con las oscilaciones más marcadas del estudio. Inicia profundamente en el Cuadrante IV en 2019 (</w:t>
      </w:r>
      <m:oMath>
        <m:r>
          <m:t>y</m:t>
        </m:r>
        <m:r>
          <m:rPr>
            <m:sty m:val="p"/>
          </m:rPr>
          <m:t>≈</m:t>
        </m:r>
        <m:r>
          <m:rPr>
            <m:sty m:val="p"/>
          </m:rPr>
          <m:t>−</m:t>
        </m:r>
        <m:r>
          <m:t>1.90</m:t>
        </m:r>
      </m:oMath>
      <w:r>
        <w:t xml:space="preserve">), asciende al Cuadrante I en 2022 (</w:t>
      </w:r>
      <m:oMath>
        <m:r>
          <m:t>y</m:t>
        </m:r>
        <m:r>
          <m:rPr>
            <m:sty m:val="p"/>
          </m:rPr>
          <m:t>=</m:t>
        </m:r>
        <m:r>
          <m:rPr>
            <m:sty m:val="p"/>
          </m:rPr>
          <m:t>+</m:t>
        </m:r>
        <m:r>
          <m:t>0.44</m:t>
        </m:r>
      </m:oMath>
      <w:r>
        <w:t xml:space="preserve">), desciende al Cuadrante IV en 2023, y en 2024 vuelve a cruzar levemente al Cuadrante I (</w:t>
      </w:r>
      <m:oMath>
        <m:r>
          <m:t>y</m:t>
        </m:r>
        <m:r>
          <m:rPr>
            <m:sty m:val="p"/>
          </m:rPr>
          <m:t>=</m:t>
        </m:r>
        <m:r>
          <m:rPr>
            <m:sty m:val="p"/>
          </m:rPr>
          <m:t>+</m:t>
        </m:r>
        <m:r>
          <m:t>0.03</m:t>
        </m:r>
      </m:oMath>
      <w:r>
        <w:t xml:space="preserve">). Refleja la inestabilidad de las finanzas francesas, con compras recurrentes de clubes y oscilaciones entre MCO transnacionales y privatizaciones de cartera individual.</w:t>
      </w:r>
    </w:p>
    <w:p>
      <w:r>
        <w:pict>
          <v:rect style="width:0;height:1.5pt" o:hralign="center" o:hrstd="t" o:hr="t"/>
        </w:pict>
      </w:r>
    </w:p>
    <w:bookmarkEnd w:id="54"/>
    <w:bookmarkStart w:id="55" w:name="Xedb0e3c93c0cfaced78069ee5af315d957f7136"/>
    <w:p>
      <w:pPr>
        <w:pStyle w:val="Heading3"/>
      </w:pPr>
      <w:r>
        <w:t xml:space="preserve">6.4. Tratamiento de Datos Composicionales (CoDa)</w:t>
      </w:r>
    </w:p>
    <w:p>
      <w:pPr>
        <w:pStyle w:val="FirstParagraph"/>
      </w:pPr>
      <w:r>
        <w:t xml:space="preserve">Las proporciones de la matriz de Ownership Landscape son datos composicionales por definición (suman 1.0 y están acotados en el espacio simplex). En consecuencia, de acuerdo con la teoría metodológica contemporánea para el análisis de datos composicionales (Pawlowsky-Glahn et al., 2015), se aplican dos aproximaciones metodológicas para asegurar la robustez estadística:</w:t>
      </w:r>
      <w:r>
        <w:t xml:space="preserve"> </w:t>
      </w:r>
      <w:r>
        <w:t xml:space="preserve">*</w:t>
      </w:r>
      <w:r>
        <w:t xml:space="preserve"> </w:t>
      </w:r>
      <w:r>
        <w:rPr>
          <w:b/>
          <w:bCs/>
        </w:rPr>
        <w:t xml:space="preserve">Enfoque de Referencia (Conventional PCA)</w:t>
      </w:r>
      <w:r>
        <w:t xml:space="preserve">: Se realiza el PCA convencional sobre las proporciones estandarizadas para mantener la legibilidad directa de las distancias euclidianas simples de las proporciones.</w:t>
      </w:r>
      <w:r>
        <w:t xml:space="preserve"> </w:t>
      </w:r>
      <w:r>
        <w:t xml:space="preserve">*</w:t>
      </w:r>
      <w:r>
        <w:t xml:space="preserve"> </w:t>
      </w:r>
      <w:r>
        <w:rPr>
          <w:b/>
          <w:bCs/>
        </w:rPr>
        <w:t xml:space="preserve">Enfoque de Sensibilidad (Compositional PCA)</w:t>
      </w:r>
      <w:r>
        <w:t xml:space="preserve">: Se aplica una transformación</w:t>
      </w:r>
      <w:r>
        <w:t xml:space="preserve"> </w:t>
      </w:r>
      <w:r>
        <w:rPr>
          <w:b/>
          <w:bCs/>
        </w:rPr>
        <w:t xml:space="preserve">Centered Log-Ratio (CLR)</w:t>
      </w:r>
      <w:r>
        <w:t xml:space="preserve"> </w:t>
      </w:r>
      <w:r>
        <w:t xml:space="preserve">sobre las proporciones (añadiendo una constante residual de</w:t>
      </w:r>
      <w:r>
        <w:t xml:space="preserve"> </w:t>
      </w:r>
      <m:oMath>
        <m:r>
          <m:t>1</m:t>
        </m:r>
        <m:r>
          <m:rPr>
            <m:sty m:val="p"/>
          </m:rPr>
          <m:t>×</m:t>
        </m:r>
        <m:sSup>
          <m:e>
            <m:r>
              <m:t>10</m:t>
            </m:r>
          </m:e>
          <m:sup>
            <m:r>
              <m:rPr>
                <m:sty m:val="p"/>
              </m:rPr>
              <m:t>−</m:t>
            </m:r>
            <m:r>
              <m:t>5</m:t>
            </m:r>
          </m:sup>
        </m:sSup>
      </m:oMath>
      <w:r>
        <w:t xml:space="preserve"> </w:t>
      </w:r>
      <w:r>
        <w:t xml:space="preserve">a las proporciones nulas para evitar indeterminaciones matemáticas de logaritmos) antes de realizar el PCA (Pawlowsky-Glahn et al., 2015). El CLR proyécta los datos fuera del simplex para evitar problemas de correlación espuria e inducir ortogonalidad real. Los resultados y la ordenación espacial de ambos análisis se contrastan y verifican en las pruebas de sensibilidad.</w:t>
      </w:r>
    </w:p>
    <w:bookmarkEnd w:id="55"/>
    <w:bookmarkEnd w:id="56"/>
    <w:bookmarkStart w:id="58" w:name="sensibilidad-robustez-y-reproducibilidad"/>
    <w:p>
      <w:pPr>
        <w:pStyle w:val="Heading2"/>
      </w:pPr>
      <w:r>
        <w:t xml:space="preserve">7. Sensibilidad, Robustez y Reproducibilidad</w:t>
      </w:r>
    </w:p>
    <w:p>
      <w:pPr>
        <w:pStyle w:val="FirstParagraph"/>
      </w:pPr>
      <w:r>
        <w:t xml:space="preserve">Para validar la solidez metodológica de los resultados descriptivos y configuracionales obtenidos, se implementaron las siguientes pruebas de robustez:</w:t>
      </w:r>
    </w:p>
    <w:p>
      <w:pPr>
        <w:pStyle w:val="Compact"/>
        <w:numPr>
          <w:ilvl w:val="0"/>
          <w:numId w:val="1017"/>
        </w:numPr>
      </w:pPr>
      <w:r>
        <w:rPr>
          <w:b/>
          <w:bCs/>
        </w:rPr>
        <w:t xml:space="preserve">PCA Convencional vs. Composicional (CLR)</w:t>
      </w:r>
      <w:r>
        <w:t xml:space="preserve">: Se correlacionaron las puntuaciones de las 30 observaciones liga-temporada obtenidas mediante ambos enfoques. La correlación de Pearson para el primer componente principal (PC1, el Eje de Internacionalización y Financiarización) entre ambos enfoques superó el</w:t>
      </w:r>
      <w:r>
        <w:t xml:space="preserve"> </w:t>
      </w:r>
      <m:oMath>
        <m:r>
          <m:t>0.96</m:t>
        </m:r>
      </m:oMath>
      <w:r>
        <w:t xml:space="preserve"> </w:t>
      </w:r>
      <w:r>
        <w:t xml:space="preserve">en valor absoluto (con una correlación de rango de Spearman de</w:t>
      </w:r>
      <w:r>
        <w:t xml:space="preserve"> </w:t>
      </w:r>
      <m:oMath>
        <m:r>
          <m:t>0.88</m:t>
        </m:r>
      </m:oMath>
      <w:r>
        <w:t xml:space="preserve">). Esto confirma de forma empírica que el eje principal de diferenciación e internacionalización de las ligas es sumamente estable y robusto, no viéndose afectado por la constricción de suma constante del simplex composicional (Pawlowsky-Glahn et al., 2015).</w:t>
      </w:r>
    </w:p>
    <w:p>
      <w:pPr>
        <w:pStyle w:val="Compact"/>
        <w:numPr>
          <w:ilvl w:val="0"/>
          <w:numId w:val="1017"/>
        </w:numPr>
      </w:pPr>
      <w:r>
        <w:rPr>
          <w:b/>
          <w:bCs/>
        </w:rPr>
        <w:t xml:space="preserve">Estabilidad sin la Categoría</w:t>
      </w:r>
      <w:r>
        <w:rPr>
          <w:b/>
          <w:bCs/>
        </w:rPr>
        <w:t xml:space="preserve"> </w:t>
      </w:r>
      <w:r>
        <w:rPr>
          <w:b/>
          <w:bCs/>
        </w:rPr>
        <w:t xml:space="preserve">“Unknown”</w:t>
      </w:r>
      <w:r>
        <w:t xml:space="preserve">: Se repitió el PCA tras excluir la proporción</w:t>
      </w:r>
      <w:r>
        <w:t xml:space="preserve"> </w:t>
      </w:r>
      <w:r>
        <w:rPr>
          <w:rStyle w:val="VerbatimChar"/>
        </w:rPr>
        <w:t xml:space="preserve">unknown</w:t>
      </w:r>
      <w:r>
        <w:t xml:space="preserve"> </w:t>
      </w:r>
      <w:r>
        <w:t xml:space="preserve">y re-normalizar las restantes 7 categorías sustantivas a</w:t>
      </w:r>
      <w:r>
        <w:t xml:space="preserve"> </w:t>
      </w:r>
      <m:oMath>
        <m:r>
          <m:t>1.0</m:t>
        </m:r>
      </m:oMath>
      <w:r>
        <w:t xml:space="preserve"> </w:t>
      </w:r>
      <w:r>
        <w:t xml:space="preserve">mediante la fórmula</w:t>
      </w:r>
      <w:r>
        <w:t xml:space="preserve"> </w:t>
      </w:r>
      <m:oMath>
        <m:r>
          <m:t>p</m:t>
        </m:r>
        <m:sSub>
          <m:e>
            <m:r>
              <m:rPr>
                <m:sty m:val="p"/>
              </m:rPr>
              <m:t>′</m:t>
            </m:r>
          </m:e>
          <m:sub>
            <m:r>
              <m:t>i</m:t>
            </m:r>
          </m:sub>
        </m:sSub>
        <m:r>
          <m:rPr>
            <m:sty m:val="p"/>
          </m:rPr>
          <m:t>=</m:t>
        </m:r>
        <m:sSub>
          <m:e>
            <m:r>
              <m:t>p</m:t>
            </m:r>
          </m:e>
          <m:sub>
            <m:r>
              <m:t>i</m:t>
            </m:r>
          </m:sub>
        </m:sSub>
        <m:r>
          <m:rPr>
            <m:sty m:val="p"/>
          </m:rPr>
          <m:t>/</m:t>
        </m:r>
        <m:d>
          <m:dPr>
            <m:begChr m:val="("/>
            <m:sepChr m:val=""/>
            <m:endChr m:val=")"/>
            <m:grow/>
          </m:dPr>
          <m:e>
            <m:r>
              <m:t>1</m:t>
            </m:r>
            <m:r>
              <m:rPr>
                <m:sty m:val="p"/>
              </m:rPr>
              <m:t>−</m:t>
            </m:r>
            <m:sSub>
              <m:e>
                <m:r>
                  <m:t>p</m:t>
                </m:r>
              </m:e>
              <m:sub>
                <m:r>
                  <m:t>u</m:t>
                </m:r>
                <m:r>
                  <m:t>n</m:t>
                </m:r>
                <m:r>
                  <m:t>k</m:t>
                </m:r>
                <m:r>
                  <m:t>n</m:t>
                </m:r>
                <m:r>
                  <m:t>o</m:t>
                </m:r>
                <m:r>
                  <m:t>w</m:t>
                </m:r>
                <m:r>
                  <m:t>n</m:t>
                </m:r>
              </m:sub>
            </m:sSub>
          </m:e>
        </m:d>
      </m:oMath>
      <w:r>
        <w:t xml:space="preserve">. La comparación geométrica de la posición relativa de las 30 observaciones liga-temporada en el plano bidimensional arrojó una correlación de Procrustes del</w:t>
      </w:r>
      <w:r>
        <w:t xml:space="preserve"> </w:t>
      </w:r>
      <m:oMath>
        <m:r>
          <m:t>0.985</m:t>
        </m:r>
      </m:oMath>
      <w:r>
        <w:t xml:space="preserve">, validando rigurosamente que la presencia de datos no resueltos no introduce sesgos ni afecta la validez configuracional del estudio.</w:t>
      </w:r>
    </w:p>
    <w:bookmarkStart w:id="57" w:name="Xee902a15831d344c9e61b55d75a28a3df3665c8"/>
    <w:p>
      <w:pPr>
        <w:pStyle w:val="Heading3"/>
      </w:pPr>
      <w:r>
        <w:t xml:space="preserve">Reproducibilidad e Infraestructura de Software</w:t>
      </w:r>
    </w:p>
    <w:p>
      <w:pPr>
        <w:pStyle w:val="FirstParagraph"/>
      </w:pPr>
      <w:r>
        <w:t xml:space="preserve">El análisis se ejecutó utilizando</w:t>
      </w:r>
      <w:r>
        <w:t xml:space="preserve"> </w:t>
      </w:r>
      <w:r>
        <w:rPr>
          <w:b/>
          <w:bCs/>
        </w:rPr>
        <w:t xml:space="preserve">Python 3.13</w:t>
      </w:r>
      <w:r>
        <w:t xml:space="preserve"> </w:t>
      </w:r>
      <w:r>
        <w:t xml:space="preserve">en un entorno de desarrollo reproducible con las siguientes librerías de soporte científico:</w:t>
      </w:r>
    </w:p>
    <w:p>
      <w:pPr>
        <w:pStyle w:val="Compact"/>
        <w:numPr>
          <w:ilvl w:val="0"/>
          <w:numId w:val="1018"/>
        </w:numPr>
      </w:pPr>
      <w:r>
        <w:t xml:space="preserve">Procesamiento de datos y manipulación matricial:</w:t>
      </w:r>
      <w:r>
        <w:t xml:space="preserve"> </w:t>
      </w:r>
      <w:r>
        <w:rPr>
          <w:rStyle w:val="VerbatimChar"/>
        </w:rPr>
        <w:t xml:space="preserve">pandas (v2.2)</w:t>
      </w:r>
      <w:r>
        <w:t xml:space="preserve"> </w:t>
      </w:r>
      <w:r>
        <w:t xml:space="preserve">y</w:t>
      </w:r>
      <w:r>
        <w:t xml:space="preserve"> </w:t>
      </w:r>
      <w:r>
        <w:rPr>
          <w:rStyle w:val="VerbatimChar"/>
        </w:rPr>
        <w:t xml:space="preserve">numpy (v1.26)</w:t>
      </w:r>
      <w:r>
        <w:t xml:space="preserve">.</w:t>
      </w:r>
    </w:p>
    <w:p>
      <w:pPr>
        <w:pStyle w:val="Compact"/>
        <w:numPr>
          <w:ilvl w:val="0"/>
          <w:numId w:val="1018"/>
        </w:numPr>
      </w:pPr>
      <w:r>
        <w:t xml:space="preserve">Modelado estadístico y análisis dimensional:</w:t>
      </w:r>
      <w:r>
        <w:t xml:space="preserve"> </w:t>
      </w:r>
      <w:r>
        <w:rPr>
          <w:rStyle w:val="VerbatimChar"/>
        </w:rPr>
        <w:t xml:space="preserve">scikit-learn (v1.4)</w:t>
      </w:r>
      <w:r>
        <w:t xml:space="preserve">.</w:t>
      </w:r>
    </w:p>
    <w:p>
      <w:pPr>
        <w:pStyle w:val="Compact"/>
        <w:numPr>
          <w:ilvl w:val="0"/>
          <w:numId w:val="1018"/>
        </w:numPr>
      </w:pPr>
      <w:r>
        <w:t xml:space="preserve">Visualización gráfica de alta calidad:</w:t>
      </w:r>
      <w:r>
        <w:t xml:space="preserve"> </w:t>
      </w:r>
      <w:r>
        <w:rPr>
          <w:rStyle w:val="VerbatimChar"/>
        </w:rPr>
        <w:t xml:space="preserve">matplotlib (v3.8)</w:t>
      </w:r>
      <w:r>
        <w:t xml:space="preserve"> </w:t>
      </w:r>
      <w:r>
        <w:t xml:space="preserve">y</w:t>
      </w:r>
      <w:r>
        <w:t xml:space="preserve"> </w:t>
      </w:r>
      <w:r>
        <w:rPr>
          <w:rStyle w:val="VerbatimChar"/>
        </w:rPr>
        <w:t xml:space="preserve">seaborn (v0.13)</w:t>
      </w:r>
      <w:r>
        <w:t xml:space="preserve">.</w:t>
      </w:r>
    </w:p>
    <w:p>
      <w:r>
        <w:pict>
          <v:rect style="width:0;height:1.5pt" o:hralign="center" o:hrstd="t" o:hr="t"/>
        </w:pict>
      </w:r>
    </w:p>
    <w:bookmarkEnd w:id="57"/>
    <w:bookmarkEnd w:id="58"/>
    <w:bookmarkStart w:id="59" w:name="referencias-bibliográficas"/>
    <w:p>
      <w:pPr>
        <w:pStyle w:val="Heading2"/>
      </w:pPr>
      <w:r>
        <w:t xml:space="preserve">8. Referencias Bibliográficas</w:t>
      </w:r>
    </w:p>
    <w:p>
      <w:pPr>
        <w:pStyle w:val="FirstParagraph"/>
      </w:pPr>
      <w:r>
        <w:t xml:space="preserve">Fiss, P. C. (2007). A set-theoretic approach to organizational configurations.</w:t>
      </w:r>
      <w:r>
        <w:t xml:space="preserve"> </w:t>
      </w:r>
      <w:r>
        <w:rPr>
          <w:i/>
          <w:iCs/>
        </w:rPr>
        <w:t xml:space="preserve">Academy of Management Review</w:t>
      </w:r>
      <w:r>
        <w:t xml:space="preserve">, 32(4), 1180–1198. https://doi.org/10.5465/amr.2007.26586092</w:t>
      </w:r>
    </w:p>
    <w:p>
      <w:pPr>
        <w:pStyle w:val="BodyText"/>
      </w:pPr>
      <w:r>
        <w:t xml:space="preserve">Jolliffe, I. T., &amp; Cadima, J. (2016). Principal component analysis: a review and recent developments.</w:t>
      </w:r>
      <w:r>
        <w:t xml:space="preserve"> </w:t>
      </w:r>
      <w:r>
        <w:rPr>
          <w:i/>
          <w:iCs/>
        </w:rPr>
        <w:t xml:space="preserve">Philosophical Transactions of the Royal Society A: Mathematical, Physical and Engineering Sciences</w:t>
      </w:r>
      <w:r>
        <w:t xml:space="preserve">, 374(2065), 20150202. https://doi.org/10.1098/rsta.2015.0202</w:t>
      </w:r>
    </w:p>
    <w:p>
      <w:pPr>
        <w:pStyle w:val="BodyText"/>
      </w:pPr>
      <w:r>
        <w:t xml:space="preserve">Jost, L. (2006). Entropy and diversity.</w:t>
      </w:r>
      <w:r>
        <w:t xml:space="preserve"> </w:t>
      </w:r>
      <w:r>
        <w:rPr>
          <w:i/>
          <w:iCs/>
        </w:rPr>
        <w:t xml:space="preserve">Oikos</w:t>
      </w:r>
      <w:r>
        <w:t xml:space="preserve">, 113(2), 363–375. https://doi.org/10.1111/j.2006.0030-1299.14714.x</w:t>
      </w:r>
    </w:p>
    <w:p>
      <w:pPr>
        <w:pStyle w:val="BodyText"/>
      </w:pPr>
      <w:r>
        <w:t xml:space="preserve">Nauright, J., &amp; Ramfjord, J. (2010). Who owns England’s game? American professional sports ownership in the English Premier League.</w:t>
      </w:r>
      <w:r>
        <w:t xml:space="preserve"> </w:t>
      </w:r>
      <w:r>
        <w:rPr>
          <w:i/>
          <w:iCs/>
        </w:rPr>
        <w:t xml:space="preserve">Soccer &amp; Society</w:t>
      </w:r>
      <w:r>
        <w:t xml:space="preserve">, 11(4), 428–441. https://doi.org/10.1080/14660971003780321</w:t>
      </w:r>
    </w:p>
    <w:p>
      <w:pPr>
        <w:pStyle w:val="BodyText"/>
      </w:pPr>
      <w:r>
        <w:t xml:space="preserve">Pawlowsky-Glahn, V., Egozcue, J. J., &amp; Tolosana-Delgado, R. (2015).</w:t>
      </w:r>
      <w:r>
        <w:t xml:space="preserve"> </w:t>
      </w:r>
      <w:r>
        <w:rPr>
          <w:i/>
          <w:iCs/>
        </w:rPr>
        <w:t xml:space="preserve">Modeling and Analysis of Compositional Data</w:t>
      </w:r>
      <w:r>
        <w:t xml:space="preserve">. John Wiley &amp; Sons. https://doi.org/10.1002/9781119003144</w:t>
      </w:r>
    </w:p>
    <w:p>
      <w:pPr>
        <w:pStyle w:val="BodyText"/>
      </w:pPr>
      <w:r>
        <w:t xml:space="preserve">Shannon, C. E. (1948). A mathematical theory of communication.</w:t>
      </w:r>
      <w:r>
        <w:t xml:space="preserve"> </w:t>
      </w:r>
      <w:r>
        <w:rPr>
          <w:i/>
          <w:iCs/>
        </w:rPr>
        <w:t xml:space="preserve">Bell System Technical Journal</w:t>
      </w:r>
      <w:r>
        <w:t xml:space="preserve">, 27(3), 379–423. https://doi.org/10.1002/j.1538-7305.1948.tb01338.x</w:t>
      </w:r>
    </w:p>
    <w:p>
      <w:pPr>
        <w:pStyle w:val="BodyText"/>
      </w:pPr>
      <w:r>
        <w:t xml:space="preserve">Storm, R. H., &amp; Nielsen, K. (2012). Soft budget constraints in professional football.</w:t>
      </w:r>
      <w:r>
        <w:t xml:space="preserve"> </w:t>
      </w:r>
      <w:r>
        <w:rPr>
          <w:i/>
          <w:iCs/>
        </w:rPr>
        <w:t xml:space="preserve">European Sport Management Quarterly</w:t>
      </w:r>
      <w:r>
        <w:t xml:space="preserve">, 12(2), 183–201. https://doi.org/10.1080/16184742.2012.670660</w:t>
      </w:r>
    </w:p>
    <w:p>
      <w:pPr>
        <w:pStyle w:val="BodyText"/>
      </w:pPr>
      <w:r>
        <w:t xml:space="preserve">UEFA. (2024).</w:t>
      </w:r>
      <w:r>
        <w:t xml:space="preserve"> </w:t>
      </w:r>
      <w:r>
        <w:rPr>
          <w:i/>
          <w:iCs/>
        </w:rPr>
        <w:t xml:space="preserve">The European Club Finance and Investment Landscape Report</w:t>
      </w:r>
      <w:r>
        <w:t xml:space="preserve">. UEFA. https://ecfil.uefa.com/2024</w:t>
      </w:r>
    </w:p>
    <w:p>
      <w:pPr>
        <w:pStyle w:val="BodyText"/>
      </w:pPr>
      <w:r>
        <w:t xml:space="preserve">U.S. Department of Justice &amp; Federal Trade Commission. (2023).</w:t>
      </w:r>
      <w:r>
        <w:t xml:space="preserve"> </w:t>
      </w:r>
      <w:r>
        <w:rPr>
          <w:i/>
          <w:iCs/>
        </w:rPr>
        <w:t xml:space="preserve">Merger Guidelines</w:t>
      </w:r>
      <w:r>
        <w:t xml:space="preserve">. U.S. DOJ &amp; FTC. https://www.ftc.gov/reports/merger-guidelines-2023</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51" Target="media/rId51.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2026-07-15T16:31:54Z</dcterms:created>
  <dcterms:modified xsi:type="dcterms:W3CDTF">2026-07-15T16:31:54Z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