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nton" w:cs="Anton" w:eastAsia="Anton" w:hAnsi="Anton"/>
          <w:i w:val="1"/>
          <w:sz w:val="40"/>
          <w:szCs w:val="40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rtl w:val="0"/>
        </w:rPr>
        <w:t xml:space="preserve">ENCUESTAS: BUENAS PRÁCTICAS</w:t>
      </w:r>
    </w:p>
    <w:p w:rsidR="00000000" w:rsidDel="00000000" w:rsidP="00000000" w:rsidRDefault="00000000" w:rsidRPr="00000000" w14:paraId="00000002">
      <w:pPr>
        <w:spacing w:before="200" w:lineRule="auto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ROADMAP DE TRABAJO: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0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Objetivos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133.858267716535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Validar y ajustar lo trabajado hasta el momento con perspectiva de Customer Centricity: problema, objetivo, solución, pov y arquetipos de usuario y key features.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133.858267716535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Identificar los requerimientos de usuarios.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Público objetivo: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¿A quién le vas a estar realizando esta encuesta? ¿De qué tamaño es la muestra de la que aspiras a obtener respuestas?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u w:val="single"/>
          <w:rtl w:val="0"/>
        </w:rPr>
        <w:t xml:space="preserve">Recuerda que el mínimo es de 25 respuestas.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Fechas: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Fecha de inicio y finalización del relevamiento de datos + Fechas de procesamiento de información y entrega de los resultados.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Recursos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¿Sobre qué soporte se va a realizar la encuesta? Papel o Formulario Digital. Si es la segunda opción ¿Qué plataforma utilizarás? ¿Cómo vas a hacer para que la encuesta le llegue a la mayor cantidad de personas del público que definiste? Distribución por redes sociales, Whatsapp, Call Center, Vía Pública, Foros, etcétera.</w:t>
      </w:r>
    </w:p>
    <w:p w:rsidR="00000000" w:rsidDel="00000000" w:rsidP="00000000" w:rsidRDefault="00000000" w:rsidRPr="00000000" w14:paraId="00000009">
      <w:pPr>
        <w:spacing w:before="200" w:lineRule="auto"/>
        <w:ind w:left="0" w:firstLine="0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TIPOS DE PREGUNTAS A REALIZAR: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Evita preguntas de tipo '¿Te gustaría usar una app que tenga tal funcionalidad?' (si/no), Intenta indagar en profundidad sobre los problemas que creemos que existen e intentamos resolver con nuestro producto. Por ejemplo '¿Qué pasos hacés cuando en tu vida como determinado rol? ¿Cómo te gustaría que sean?'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Las preguntas de respuesta binaria (si/no) pueden utilizarse siempre y cuando sean para establecer lógicas de respuesta.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Las preguntas de respuesta abierta (para desarrollar) son excelentes para obtener insights que no estamos esperando y conocer a fondo las ideas del encuestado. Pero recuerda que redactar lleva un esfuerzo grande para la persona y aumenta la tasa de abandono. Intenta apuntar con claridad tu objetivo en estas preguntas. Por otro lado, es mucho más complejo analizar este tipo de preguntas porque no existen parámetros.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Asegurate de elegir el formato correcto de respuesta que vas a habilitar: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Multiple Choice: Varias opciones de respuesta dónde pueden elegir una sola alternativa (Cada opción debe excluir al resto)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Selección Múltiple: Varias opciones en donde se puede elegir más de una alternativa (Las opciones no son mutuamente excluyentes)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before="0" w:beforeAutospacing="0" w:lineRule="auto"/>
        <w:ind w:left="144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Escalas: Sirven para evaluar opiniones. Cuanta menor cantidad de opciones (del 1 al 3) más simple para el entrevistado pero menor información obtenida. A mayor cantidad de opciones (del 1 al 10) más complejo para el entrevistado pero mayor información obtenida.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-10949</wp:posOffset>
          </wp:positionH>
          <wp:positionV relativeFrom="page">
            <wp:posOffset>9525</wp:posOffset>
          </wp:positionV>
          <wp:extent cx="7581900" cy="781050"/>
          <wp:effectExtent b="0" l="0" r="0" t="0"/>
          <wp:wrapTopAndBottom distB="0" distT="0"/>
          <wp:docPr descr="encabezado: material complementario" id="1" name="image1.png"/>
          <a:graphic>
            <a:graphicData uri="http://schemas.openxmlformats.org/drawingml/2006/picture">
              <pic:pic>
                <pic:nvPicPr>
                  <pic:cNvPr descr="encabezado: material complementario" id="0" name="image1.png"/>
                  <pic:cNvPicPr preferRelativeResize="0"/>
                </pic:nvPicPr>
                <pic:blipFill>
                  <a:blip r:embed="rId1"/>
                  <a:srcRect b="0" l="0" r="0" t="64035"/>
                  <a:stretch>
                    <a:fillRect/>
                  </a:stretch>
                </pic:blipFill>
                <pic:spPr>
                  <a:xfrm>
                    <a:off x="0" y="0"/>
                    <a:ext cx="7581900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