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>
          <w:rFonts w:ascii="Anton" w:cs="Anton" w:eastAsia="Anton" w:hAnsi="Anton"/>
          <w:i w:val="1"/>
        </w:rPr>
      </w:pPr>
      <w:bookmarkStart w:colFirst="0" w:colLast="0" w:name="_gjdgxs" w:id="0"/>
      <w:bookmarkEnd w:id="0"/>
      <w:r w:rsidDel="00000000" w:rsidR="00000000" w:rsidRPr="00000000">
        <w:rPr>
          <w:rFonts w:ascii="Anton" w:cs="Anton" w:eastAsia="Anton" w:hAnsi="Anton"/>
          <w:i w:val="1"/>
          <w:rtl w:val="0"/>
        </w:rPr>
        <w:t xml:space="preserve">Product Manager </w:t>
      </w:r>
    </w:p>
    <w:p w:rsidR="00000000" w:rsidDel="00000000" w:rsidP="00000000" w:rsidRDefault="00000000" w:rsidRPr="00000000" w14:paraId="00000002">
      <w:pPr>
        <w:pStyle w:val="Heading2"/>
        <w:pageBreakBefore w:val="0"/>
        <w:rPr>
          <w:rFonts w:ascii="Anton" w:cs="Anton" w:eastAsia="Anton" w:hAnsi="Anton"/>
          <w:i w:val="1"/>
          <w:sz w:val="40"/>
          <w:szCs w:val="40"/>
        </w:rPr>
      </w:pPr>
      <w:bookmarkStart w:colFirst="0" w:colLast="0" w:name="_d3i6ku1n5ixv" w:id="1"/>
      <w:bookmarkEnd w:id="1"/>
      <w:r w:rsidDel="00000000" w:rsidR="00000000" w:rsidRPr="00000000">
        <w:rPr>
          <w:rFonts w:ascii="Anton" w:cs="Anton" w:eastAsia="Anton" w:hAnsi="Anton"/>
          <w:i w:val="1"/>
          <w:sz w:val="40"/>
          <w:szCs w:val="40"/>
          <w:rtl w:val="0"/>
        </w:rPr>
        <w:t xml:space="preserve">Clase 3 - El usuario en el centro de la estrategia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shd w:fill="ffffff" w:val="clear"/>
        <w:spacing w:after="0" w:line="360" w:lineRule="auto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o57egvhrwmpm" w:id="2"/>
      <w:bookmarkEnd w:id="2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OBJETIVOS DE LA CLASE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shd w:fill="ffffff" w:val="clear"/>
        <w:spacing w:after="0" w:afterAutospacing="0" w:before="0" w:lineRule="auto"/>
        <w:ind w:left="720" w:hanging="360"/>
        <w:rPr/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Entender la forma de establecer dirección a corto, mediano y largo plazo.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hd w:fill="ffffff" w:val="clear"/>
        <w:spacing w:after="0" w:afterAutospacing="0" w:before="0" w:lineRule="auto"/>
        <w:ind w:left="720" w:hanging="360"/>
        <w:rPr/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Comprender la importancia del Usuario a la hora de desarrollar soluciones.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hd w:fill="ffffff" w:val="clear"/>
        <w:spacing w:after="240" w:before="0" w:lineRule="auto"/>
        <w:ind w:left="720" w:hanging="360"/>
        <w:rPr/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Conocer los principales lienzos o mapas que se utilizan para el User Research.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pageBreakBefore w:val="0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29u7xt6rx56o" w:id="3"/>
      <w:bookmarkEnd w:id="3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MISIÓN Y VISIÓN DE UNA COMPAÑÍA</w:t>
      </w:r>
    </w:p>
    <w:p w:rsidR="00000000" w:rsidDel="00000000" w:rsidP="00000000" w:rsidRDefault="00000000" w:rsidRPr="00000000" w14:paraId="00000008">
      <w:pPr>
        <w:pStyle w:val="Heading3"/>
        <w:rPr>
          <w:rFonts w:ascii="Didact Gothic" w:cs="Didact Gothic" w:eastAsia="Didact Gothic" w:hAnsi="Didact Gothic"/>
          <w:b w:val="1"/>
        </w:rPr>
      </w:pPr>
      <w:bookmarkStart w:colFirst="0" w:colLast="0" w:name="_e5n7ccxiejvt" w:id="4"/>
      <w:bookmarkEnd w:id="4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Misión y Visión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S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on postulados mediante los cuales una empresa u organización plantea los objetivos que desea alcanzar a mediano y largo plazo. </w:t>
      </w:r>
    </w:p>
    <w:p w:rsidR="00000000" w:rsidDel="00000000" w:rsidP="00000000" w:rsidRDefault="00000000" w:rsidRPr="00000000" w14:paraId="0000000A">
      <w:pPr>
        <w:widowControl w:val="0"/>
        <w:spacing w:after="200" w:before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Juntas describen la identidad y la base teórica de una organización, empresa o marca, ayudando a los equipos a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sumar valor y propósito al trabajo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que realizan dentro de la organización.</w:t>
      </w:r>
    </w:p>
    <w:p w:rsidR="00000000" w:rsidDel="00000000" w:rsidP="00000000" w:rsidRDefault="00000000" w:rsidRPr="00000000" w14:paraId="0000000B">
      <w:pPr>
        <w:widowControl w:val="0"/>
        <w:spacing w:after="200" w:before="2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En palabras de Nielsen Norman Group: “La misión captura el qué somos y cómo sumamos valor en el presente, la visión captura lo que queremos ser”.</w:t>
      </w:r>
    </w:p>
    <w:p w:rsidR="00000000" w:rsidDel="00000000" w:rsidP="00000000" w:rsidRDefault="00000000" w:rsidRPr="00000000" w14:paraId="0000000C">
      <w:pPr>
        <w:pStyle w:val="Heading2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epbt9kavdjza" w:id="5"/>
      <w:bookmarkEnd w:id="5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CUSTOMER CENTRICITY</w:t>
      </w:r>
    </w:p>
    <w:p w:rsidR="00000000" w:rsidDel="00000000" w:rsidP="00000000" w:rsidRDefault="00000000" w:rsidRPr="00000000" w14:paraId="0000000D">
      <w:pPr>
        <w:widowControl w:val="0"/>
        <w:spacing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Es una estrategia que entiende que el cliente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debe ser siempre el eje principal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de todas las acciones que se desarrollan. Recuerda: el centro es el usuario.</w:t>
      </w:r>
    </w:p>
    <w:p w:rsidR="00000000" w:rsidDel="00000000" w:rsidP="00000000" w:rsidRDefault="00000000" w:rsidRPr="00000000" w14:paraId="0000000E">
      <w:pPr>
        <w:widowControl w:val="0"/>
        <w:spacing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hanging="360"/>
        <w:jc w:val="left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Implica un trabajo de conocimiento y entendimiento de las necesidades del cliente.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2762250</wp:posOffset>
            </wp:positionH>
            <wp:positionV relativeFrom="paragraph">
              <wp:posOffset>237056</wp:posOffset>
            </wp:positionV>
            <wp:extent cx="2890838" cy="2447270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447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720" w:right="0" w:hanging="360"/>
        <w:jc w:val="left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Todas las áreas y personas involucradas en la propuesta de valor deben trabajar sobre esta primicia.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before="200"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Será el centro de nuestro negocio y las decisiones que tomamos.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before="200"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Priorizaremos sus necesidades en balance con los objetivos del negocio. 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before="200"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Activaremos nuestra escucha y empatía para entender las necesidades situadas en su contexto social y económico.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right="0" w:firstLine="0"/>
        <w:jc w:val="left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hjdjrjb5dla5" w:id="6"/>
      <w:bookmarkEnd w:id="6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Ejemplo: Amazon</w:t>
      </w:r>
    </w:p>
    <w:p w:rsidR="00000000" w:rsidDel="00000000" w:rsidP="00000000" w:rsidRDefault="00000000" w:rsidRPr="00000000" w14:paraId="00000015">
      <w:pPr>
        <w:widowControl w:val="0"/>
        <w:spacing w:after="200" w:line="240" w:lineRule="auto"/>
        <w:ind w:left="0" w:firstLine="0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Cuenta con tres principios fundamentales: 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Foco en el cliente: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Compras y envíos rápidos y eficientes.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Poder al cliente: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Brindar herramientas de ayuda a los clientes para usar el servicio y herramienta de feedback.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Clientes fieles: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A través de herramientas como encuestas, los clientes son centro de oportunidades de mejora.</w:t>
      </w:r>
    </w:p>
    <w:p w:rsidR="00000000" w:rsidDel="00000000" w:rsidP="00000000" w:rsidRDefault="00000000" w:rsidRPr="00000000" w14:paraId="00000019">
      <w:pPr>
        <w:pStyle w:val="Heading3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6l5a3htf4aji" w:id="7"/>
      <w:bookmarkEnd w:id="7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Ejemplo: Amazon Kindle</w:t>
      </w:r>
    </w:p>
    <w:p w:rsidR="00000000" w:rsidDel="00000000" w:rsidP="00000000" w:rsidRDefault="00000000" w:rsidRPr="00000000" w14:paraId="0000001A">
      <w:pPr>
        <w:widowControl w:val="0"/>
        <w:spacing w:before="3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Amazon comprendió que sus clientes no sólo querían comprar y descargar libros desde cualquier lugar, sino que además buscaban acceder a este servicio de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forma rápida, cuando y donde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quisieran.</w:t>
      </w:r>
    </w:p>
    <w:p w:rsidR="00000000" w:rsidDel="00000000" w:rsidP="00000000" w:rsidRDefault="00000000" w:rsidRPr="00000000" w14:paraId="0000001B">
      <w:pPr>
        <w:pStyle w:val="Heading3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v62x31dyc1bk" w:id="8"/>
      <w:bookmarkEnd w:id="8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En síntesis…</w:t>
      </w:r>
    </w:p>
    <w:p w:rsidR="00000000" w:rsidDel="00000000" w:rsidP="00000000" w:rsidRDefault="00000000" w:rsidRPr="00000000" w14:paraId="0000001C">
      <w:pPr>
        <w:widowControl w:val="0"/>
        <w:spacing w:before="3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Hay muchos productos y servicios que han fracasado por no considerar a sus usuarios o clientes elementos centrales y fundamentales de su estrategia 😪. Un ejemplo claro: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New Coke (1985)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.</w:t>
      </w:r>
    </w:p>
    <w:p w:rsidR="00000000" w:rsidDel="00000000" w:rsidP="00000000" w:rsidRDefault="00000000" w:rsidRPr="00000000" w14:paraId="0000001D">
      <w:pPr>
        <w:widowControl w:val="0"/>
        <w:spacing w:before="300"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Puedes visitar </w:t>
      </w:r>
      <w:hyperlink r:id="rId7">
        <w:r w:rsidDel="00000000" w:rsidR="00000000" w:rsidRPr="00000000">
          <w:rPr>
            <w:rFonts w:ascii="Didact Gothic" w:cs="Didact Gothic" w:eastAsia="Didact Gothic" w:hAnsi="Didact Gothic"/>
            <w:color w:val="4a86e8"/>
            <w:u w:val="single"/>
            <w:rtl w:val="0"/>
          </w:rPr>
          <w:t xml:space="preserve">aquí</w:t>
        </w:r>
      </w:hyperlink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31 casos conocidos a nivel mundial.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ef0g1nvxoqak" w:id="9"/>
      <w:bookmarkEnd w:id="9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EMPATIZAR Y DEFINIR USER PERSONA</w:t>
      </w:r>
    </w:p>
    <w:p w:rsidR="00000000" w:rsidDel="00000000" w:rsidP="00000000" w:rsidRDefault="00000000" w:rsidRPr="00000000" w14:paraId="0000001F">
      <w:pPr>
        <w:widowControl w:val="0"/>
        <w:spacing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La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empatía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es la base del proceso de diseño y está centrado en las personas y los usuarios. Para lograrlo: 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ef89d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Observa y escucha</w:t>
            </w:r>
          </w:p>
        </w:tc>
        <w:tc>
          <w:tcPr>
            <w:shd w:fill="ef89d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Involúcrate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Esfuérzate por comprender a tus usuarios y sus comportamientos en contexto. Intenta mantener distancia e influir lo menos posible en sus decisiones para comprender sus necesidades reales.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Busca una conversación ya sea breve, o bien, prolongada. Recuerda: lo importante es conocer tus usuarios. Una buena práctica es preguntar “</w:t>
            </w: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¿por qué?</w:t>
            </w: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”, ya que ayuda a descubrir nuevos significados.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Style w:val="Heading3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t04udd5e6byd" w:id="10"/>
      <w:bookmarkEnd w:id="10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USER Personas </w:t>
      </w:r>
    </w:p>
    <w:p w:rsidR="00000000" w:rsidDel="00000000" w:rsidP="00000000" w:rsidRDefault="00000000" w:rsidRPr="00000000" w14:paraId="00000025">
      <w:pPr>
        <w:pStyle w:val="Heading3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xt678nfo53jk" w:id="11"/>
      <w:bookmarkEnd w:id="11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¿Qué datos importan?</w:t>
      </w:r>
    </w:p>
    <w:p w:rsidR="00000000" w:rsidDel="00000000" w:rsidP="00000000" w:rsidRDefault="00000000" w:rsidRPr="00000000" w14:paraId="00000026">
      <w:pPr>
        <w:widowControl w:val="0"/>
        <w:spacing w:line="276" w:lineRule="auto"/>
        <w:rPr>
          <w:rFonts w:ascii="Didact Gothic" w:cs="Didact Gothic" w:eastAsia="Didact Gothic" w:hAnsi="Didact Gothic"/>
          <w:b w:val="1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Los datos demográficos (edad, sexo, lugar, cantidad de hijos, etcétera)...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¿Son suficientes? </w:t>
      </w:r>
    </w:p>
    <w:p w:rsidR="00000000" w:rsidDel="00000000" w:rsidP="00000000" w:rsidRDefault="00000000" w:rsidRPr="00000000" w14:paraId="00000027">
      <w:pPr>
        <w:widowControl w:val="0"/>
        <w:spacing w:before="200"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De ser así, el Príncipe Carlos y Ozzy Osbourne podrían constituir el mismo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perfil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¿Es convincente? Veremos por qué construir user personas no es diseñarlas sólo según su información demográfica.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Príncipe Carlos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idact Gothic" w:cs="Didact Gothic" w:eastAsia="Didact Gothic" w:hAnsi="Didact Gothic"/>
                <w:b w:val="1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b w:val="1"/>
                <w:rtl w:val="0"/>
              </w:rPr>
              <w:t xml:space="preserve">Ozzy Osbourne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jc w:val="righ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Nació en 1948 y creció en Inglaterra.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jc w:val="righ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Se casó dos veces.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jc w:val="righ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Es padre.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jc w:val="righ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Es millonario.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jc w:val="right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Le gustan los perros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Nació en 1948 y creció en Inglaterra.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Se casó dos veces.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Es padre.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Es millonario.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rPr>
                <w:rFonts w:ascii="Didact Gothic" w:cs="Didact Gothic" w:eastAsia="Didact Gothic" w:hAnsi="Didact Gothic"/>
              </w:rPr>
            </w:pPr>
            <w:r w:rsidDel="00000000" w:rsidR="00000000" w:rsidRPr="00000000">
              <w:rPr>
                <w:rFonts w:ascii="Didact Gothic" w:cs="Didact Gothic" w:eastAsia="Didact Gothic" w:hAnsi="Didact Gothic"/>
                <w:rtl w:val="0"/>
              </w:rPr>
              <w:t xml:space="preserve">Le gustan los perros.</w:t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24" w:before="24" w:line="276" w:lineRule="auto"/>
        <w:rPr/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No alcanza con comparar a dos individuos reales según sus características demográficas (edad, sexo, lugar, cantidad de hijos, etc.) para determinar grupos o segmentos de personas. Si chequeamos esos datos del Príncipe Carlos y Ozzy Osbourne, vemos que son idénticas sus características, pero en cuanto comparamos una foto de ambos, identificamos que pertenecen a grupos totalmente diferentes si les quiero vender un producto a cada uno.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j0s7s1msn7fe" w:id="12"/>
      <w:bookmarkEnd w:id="12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¿Quién usará mi producto?</w:t>
      </w:r>
    </w:p>
    <w:p w:rsidR="00000000" w:rsidDel="00000000" w:rsidP="00000000" w:rsidRDefault="00000000" w:rsidRPr="00000000" w14:paraId="00000039">
      <w:pPr>
        <w:widowControl w:val="0"/>
        <w:spacing w:before="200"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Los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user personas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son </w:t>
      </w:r>
      <w:r w:rsidDel="00000000" w:rsidR="00000000" w:rsidRPr="00000000">
        <w:rPr>
          <w:rFonts w:ascii="Didact Gothic" w:cs="Didact Gothic" w:eastAsia="Didact Gothic" w:hAnsi="Didact Gothic"/>
          <w:b w:val="1"/>
          <w:u w:val="single"/>
          <w:rtl w:val="0"/>
        </w:rPr>
        <w:t xml:space="preserve">personajes imaginarios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, creados para representar los diferentes tipos de usuarios que podrían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usar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un sitio web, una marca, o un producto de manera similar. Son una representación de las metas y la conducta de un grupo hipotético de usuarios. </w:t>
      </w:r>
    </w:p>
    <w:p w:rsidR="00000000" w:rsidDel="00000000" w:rsidP="00000000" w:rsidRDefault="00000000" w:rsidRPr="00000000" w14:paraId="0000003A">
      <w:pPr>
        <w:widowControl w:val="0"/>
        <w:spacing w:before="200"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Nota: Alan Cooper, en 1999, fue el primero en utilizar el término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user personas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en el campo del DCU, en su libro “The Inmates are Running The Asylum”. </w:t>
      </w:r>
    </w:p>
    <w:p w:rsidR="00000000" w:rsidDel="00000000" w:rsidP="00000000" w:rsidRDefault="00000000" w:rsidRPr="00000000" w14:paraId="0000003B">
      <w:pPr>
        <w:widowControl w:val="0"/>
        <w:spacing w:before="200"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En la mayoría de los casos, personas son sintetizadas de datos colectivos de entrevistas o encuestas, llamados telefónicos, o toda interacción que ayude a construir la imagen mental de una persona. Responde rápidamente a la pregunta “¿quién va a usar mi producto?”. </w:t>
      </w:r>
    </w:p>
    <w:p w:rsidR="00000000" w:rsidDel="00000000" w:rsidP="00000000" w:rsidRDefault="00000000" w:rsidRPr="00000000" w14:paraId="0000003C">
      <w:pPr>
        <w:widowControl w:val="0"/>
        <w:spacing w:before="200"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Nielsen dice en su libro Usability Engineering: “Como mínimo, los desarrolladores deben visitar al cliente en su espacio para que tengan una idea de cómo será utilizado el producto. Las características individuales de los usuarios, y la variabilidad en las tareas, son los dos factores con el mayor impacto en la usabilidad, por lo que deben ser estudiados cuidadosamente.”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916vzqkf4sip" w:id="13"/>
      <w:bookmarkEnd w:id="13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¿Quién usará mi producto?</w:t>
      </w:r>
    </w:p>
    <w:p w:rsidR="00000000" w:rsidDel="00000000" w:rsidP="00000000" w:rsidRDefault="00000000" w:rsidRPr="00000000" w14:paraId="0000003E">
      <w:pPr>
        <w:widowControl w:val="0"/>
        <w:spacing w:before="200"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u w:val="single"/>
          <w:rtl w:val="0"/>
        </w:rPr>
        <w:t xml:space="preserve">Antes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, se usaba solamente el término “usuario” ejemplificando sólo diferentes usos de un software que había que mejorar. Cada persona tenía su propia idea del usuario. </w:t>
      </w:r>
    </w:p>
    <w:p w:rsidR="00000000" w:rsidDel="00000000" w:rsidP="00000000" w:rsidRDefault="00000000" w:rsidRPr="00000000" w14:paraId="0000003F">
      <w:pPr>
        <w:widowControl w:val="0"/>
        <w:spacing w:before="200"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u w:val="single"/>
          <w:rtl w:val="0"/>
        </w:rPr>
        <w:t xml:space="preserve">Hoy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podemos generar una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persona ficticia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, a la cual le ponemos nombre, y todos aquellos rasgos suyos que tienen que ver con el uso de las apps, dándonos una visión conjunta.</w:t>
      </w:r>
    </w:p>
    <w:p w:rsidR="00000000" w:rsidDel="00000000" w:rsidP="00000000" w:rsidRDefault="00000000" w:rsidRPr="00000000" w14:paraId="00000040">
      <w:pPr>
        <w:pStyle w:val="Heading3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ljn708lo7iyx" w:id="14"/>
      <w:bookmarkEnd w:id="14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Características</w:t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3"/>
        </w:numPr>
        <w:spacing w:line="276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Finalidad: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Desarrollar soluciones, productos y servicios basados en las necesidades y metas de los usuarios con una visión empática.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3"/>
        </w:numPr>
        <w:spacing w:line="276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Ficción: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Es un individuo ficticio, creado para describir un grupo específico. Representa personas reales durante todo el proceso. </w:t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3"/>
        </w:numPr>
        <w:spacing w:line="276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Detalle: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Se definen con rigor y precisión.</w:t>
      </w:r>
    </w:p>
    <w:p w:rsidR="00000000" w:rsidDel="00000000" w:rsidP="00000000" w:rsidRDefault="00000000" w:rsidRPr="00000000" w14:paraId="00000044">
      <w:pPr>
        <w:pStyle w:val="Heading3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pa7ussvjlc9a" w:id="15"/>
      <w:bookmarkEnd w:id="15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Beneficios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4"/>
        </w:numPr>
        <w:spacing w:line="276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Herramienta clave para generar empatía.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4"/>
        </w:numPr>
        <w:spacing w:line="276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Todos los miembros del equipo pensarán lo mismo al pensar en el usuario.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4"/>
        </w:numPr>
        <w:spacing w:line="276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Herramienta de trabajo. Podemos deducir “María (user persona) no usaría esa función”.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4"/>
        </w:numPr>
        <w:spacing w:line="276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Integra a nuevos miembros del equipo.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4"/>
        </w:numPr>
        <w:spacing w:line="276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Permite realizar su user de persona contrario o inverso (negativo).</w:t>
      </w:r>
    </w:p>
    <w:p w:rsidR="00000000" w:rsidDel="00000000" w:rsidP="00000000" w:rsidRDefault="00000000" w:rsidRPr="00000000" w14:paraId="0000004A">
      <w:pPr>
        <w:pStyle w:val="Heading2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h1qjzzd5lus3" w:id="16"/>
      <w:bookmarkEnd w:id="16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ARQUETIPOS DE PERSONAS</w:t>
      </w:r>
    </w:p>
    <w:p w:rsidR="00000000" w:rsidDel="00000000" w:rsidP="00000000" w:rsidRDefault="00000000" w:rsidRPr="00000000" w14:paraId="0000004B">
      <w:pPr>
        <w:widowControl w:val="0"/>
        <w:spacing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El arquetipo de persona (o proto-persona) es una de las formas de representar al user persona del que estuvimos hablando. Es un modelo ficticio, creado a partir de la investigación previa de personas reales. </w:t>
      </w:r>
    </w:p>
    <w:p w:rsidR="00000000" w:rsidDel="00000000" w:rsidP="00000000" w:rsidRDefault="00000000" w:rsidRPr="00000000" w14:paraId="0000004C">
      <w:pPr>
        <w:widowControl w:val="0"/>
        <w:spacing w:before="200"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Los arquetipos tienen relación con el user persona (quién usará mi producto) y también con el buyer persona (quién lo comprará).</w:t>
      </w:r>
    </w:p>
    <w:p w:rsidR="00000000" w:rsidDel="00000000" w:rsidP="00000000" w:rsidRDefault="00000000" w:rsidRPr="00000000" w14:paraId="0000004D">
      <w:pPr>
        <w:widowControl w:val="0"/>
        <w:spacing w:before="200"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Veamos los siguientes ejemplos:</w:t>
      </w:r>
    </w:p>
    <w:p w:rsidR="00000000" w:rsidDel="00000000" w:rsidP="00000000" w:rsidRDefault="00000000" w:rsidRPr="00000000" w14:paraId="0000004E">
      <w:pPr>
        <w:widowControl w:val="0"/>
        <w:spacing w:before="200"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</w:rPr>
        <w:drawing>
          <wp:inline distB="19050" distT="19050" distL="19050" distR="19050">
            <wp:extent cx="5148263" cy="3634571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634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before="200"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</w:rPr>
        <w:drawing>
          <wp:inline distB="19050" distT="19050" distL="19050" distR="19050">
            <wp:extent cx="5214938" cy="394857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9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948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before="200"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</w:rPr>
        <w:drawing>
          <wp:inline distB="19050" distT="19050" distL="19050" distR="19050">
            <wp:extent cx="5262563" cy="382016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7317" r="152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820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p8g0mplcf4nb" w:id="17"/>
      <w:bookmarkEnd w:id="17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MAPAS DE EMPATÍA</w:t>
      </w:r>
    </w:p>
    <w:p w:rsidR="00000000" w:rsidDel="00000000" w:rsidP="00000000" w:rsidRDefault="00000000" w:rsidRPr="00000000" w14:paraId="00000052">
      <w:pPr>
        <w:widowControl w:val="0"/>
        <w:spacing w:after="200"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¡Seguimos profundizando en nuestros usuarios!</w:t>
      </w:r>
    </w:p>
    <w:p w:rsidR="00000000" w:rsidDel="00000000" w:rsidP="00000000" w:rsidRDefault="00000000" w:rsidRPr="00000000" w14:paraId="00000053">
      <w:pPr>
        <w:widowControl w:val="0"/>
        <w:spacing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El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mapa de empatía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, también llamado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matriz de entendimiento del comportamiento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, es una herramienta de visualización donde condensamos y entendemos mejor la información que aprendimos sobre nuestros usuarios en las distintas etapas de investigación.</w:t>
      </w:r>
    </w:p>
    <w:p w:rsidR="00000000" w:rsidDel="00000000" w:rsidP="00000000" w:rsidRDefault="00000000" w:rsidRPr="00000000" w14:paraId="00000054">
      <w:pPr>
        <w:widowControl w:val="0"/>
        <w:spacing w:before="200"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Se compone de seis elementos que centran al usuario: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356669</wp:posOffset>
            </wp:positionV>
            <wp:extent cx="3481388" cy="2456979"/>
            <wp:effectExtent b="0" l="0" r="0" t="0"/>
            <wp:wrapSquare wrapText="bothSides" distB="19050" distT="19050" distL="19050" distR="1905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2439" l="5864" r="36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4569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widowControl w:val="0"/>
        <w:spacing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8"/>
        </w:numPr>
        <w:spacing w:after="0" w:afterAutospacing="0" w:before="200" w:line="276" w:lineRule="auto"/>
        <w:ind w:left="720" w:hanging="360"/>
        <w:rPr>
          <w:rFonts w:ascii="Didact Gothic" w:cs="Didact Gothic" w:eastAsia="Didact Gothic" w:hAnsi="Didact Gothic"/>
          <w:u w:val="non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¿Qué piensa y siente?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rPr>
          <w:rFonts w:ascii="Didact Gothic" w:cs="Didact Gothic" w:eastAsia="Didact Gothic" w:hAnsi="Didact Gothic"/>
          <w:u w:val="non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¿Qué oye?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rPr>
          <w:rFonts w:ascii="Didact Gothic" w:cs="Didact Gothic" w:eastAsia="Didact Gothic" w:hAnsi="Didact Gothic"/>
          <w:u w:val="non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¿Qué ve?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rPr>
          <w:rFonts w:ascii="Didact Gothic" w:cs="Didact Gothic" w:eastAsia="Didact Gothic" w:hAnsi="Didact Gothic"/>
          <w:u w:val="non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¿Qué dice y hace?</w:t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rPr>
          <w:rFonts w:ascii="Didact Gothic" w:cs="Didact Gothic" w:eastAsia="Didact Gothic" w:hAnsi="Didact Gothic"/>
          <w:u w:val="non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Esfuerzos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8"/>
        </w:numPr>
        <w:spacing w:before="0" w:beforeAutospacing="0" w:line="276" w:lineRule="auto"/>
        <w:ind w:left="720" w:hanging="360"/>
        <w:rPr>
          <w:rFonts w:ascii="Didact Gothic" w:cs="Didact Gothic" w:eastAsia="Didact Gothic" w:hAnsi="Didact Gothic"/>
          <w:u w:val="non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before="200"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before="200"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>
          <w:rFonts w:ascii="Didact Gothic" w:cs="Didact Gothic" w:eastAsia="Didact Gothic" w:hAnsi="Didact Gothic"/>
        </w:rPr>
      </w:pPr>
      <w:bookmarkStart w:colFirst="0" w:colLast="0" w:name="_dlo080a8cuwb" w:id="18"/>
      <w:bookmarkEnd w:id="18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Ventajas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6"/>
        </w:numPr>
        <w:spacing w:line="276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Visualiza actitudes y comportamientos de user personas, ayudando a los distintos equipos a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 alinear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el entendimiento de los verdaderos usuarios.</w:t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6"/>
        </w:numPr>
        <w:spacing w:line="276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Revela los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 vacíos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 en la información que manejamos (y debemos cubrir).</w:t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6"/>
        </w:numPr>
        <w:spacing w:line="276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Es un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instrumento vivo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, es actualizado constantemente en base a la nueva información que recolectamos de usuarios.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vb1lggnan" w:id="19"/>
      <w:bookmarkEnd w:id="19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CUSTOMER JOURNEY MAP O MAPA DE TRAYECTORIA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after="200"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Es un gráfico detallado que nos muestra los pasos que nuestros usuarios realizan al usar nuestro producto. Nos permite detectar </w:t>
      </w: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puntos de dolor y oportunidades de mejora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. </w:t>
      </w:r>
    </w:p>
    <w:p w:rsidR="00000000" w:rsidDel="00000000" w:rsidP="00000000" w:rsidRDefault="00000000" w:rsidRPr="00000000" w14:paraId="00000065">
      <w:pPr>
        <w:widowControl w:val="0"/>
        <w:spacing w:after="200" w:line="276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Se basa en los insights obtenidos en la investigación y adopta una amplia variedad de formas según el contexto y los objetivos. Se hace por arquetipos o segmentos.</w:t>
      </w:r>
    </w:p>
    <w:p w:rsidR="00000000" w:rsidDel="00000000" w:rsidP="00000000" w:rsidRDefault="00000000" w:rsidRPr="00000000" w14:paraId="00000066">
      <w:pPr>
        <w:pStyle w:val="Heading3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qh55n2khsc2o" w:id="20"/>
      <w:bookmarkEnd w:id="20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Antes de seguir… ¿Qué son los Insights?</w:t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Cuando hablamos de “insights”, nos referimos a las conclusiones y resultados derivados de la información relevante obtenida a lo largo de la investigación.</w:t>
      </w:r>
    </w:p>
    <w:p w:rsidR="00000000" w:rsidDel="00000000" w:rsidP="00000000" w:rsidRDefault="00000000" w:rsidRPr="00000000" w14:paraId="00000068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</w:rPr>
        <w:drawing>
          <wp:inline distB="114300" distT="114300" distL="114300" distR="114300">
            <wp:extent cx="5731200" cy="2654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bookmarkStart w:colFirst="0" w:colLast="0" w:name="_lnmd7uvfe51x" w:id="21"/>
      <w:bookmarkEnd w:id="21"/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Otras herramientas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Didact Gothic" w:cs="Didact Gothic" w:eastAsia="Didact Gothic" w:hAnsi="Didact Gothic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Además de los mapas vistos en clase, también puedes utilizar otros para visualizar y comprender la experiencia de tus usuarios. Algunas alternativas comunes son: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Didact Gothic" w:cs="Didact Gothic" w:eastAsia="Didact Gothic" w:hAnsi="Didact Gothic"/>
          <w:u w:val="non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Experience map.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Didact Gothic" w:cs="Didact Gothic" w:eastAsia="Didact Gothic" w:hAnsi="Didact Gothic"/>
          <w:u w:val="non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Service blueprint.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Didact Gothic" w:cs="Didact Gothic" w:eastAsia="Didact Gothic" w:hAnsi="Didact Gothic"/>
          <w:color w:val="4a86e8"/>
          <w:u w:val="single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Puedes conocerlas </w:t>
      </w:r>
      <w:hyperlink r:id="rId13">
        <w:r w:rsidDel="00000000" w:rsidR="00000000" w:rsidRPr="00000000">
          <w:rPr>
            <w:rFonts w:ascii="Didact Gothic" w:cs="Didact Gothic" w:eastAsia="Didact Gothic" w:hAnsi="Didact Gothic"/>
            <w:color w:val="4a86e8"/>
            <w:u w:val="single"/>
            <w:rtl w:val="0"/>
          </w:rPr>
          <w:t xml:space="preserve">aquí</w:t>
        </w:r>
      </w:hyperlink>
      <w:r w:rsidDel="00000000" w:rsidR="00000000" w:rsidRPr="00000000">
        <w:rPr>
          <w:rFonts w:ascii="Didact Gothic" w:cs="Didact Gothic" w:eastAsia="Didact Gothic" w:hAnsi="Didact Gothic"/>
          <w:color w:val="4a86e8"/>
          <w:u w:val="single"/>
          <w:rtl w:val="0"/>
        </w:rPr>
        <w:t xml:space="preserve">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Didact Gothic" w:cs="Didact Gothic" w:eastAsia="Didact Gothic" w:hAnsi="Didact Gothic"/>
          <w:color w:val="4a86e8"/>
          <w:u w:val="single"/>
        </w:rPr>
      </w:pPr>
      <w:r w:rsidDel="00000000" w:rsidR="00000000" w:rsidRPr="00000000">
        <w:rPr>
          <w:rFonts w:ascii="Didact Gothic" w:cs="Didact Gothic" w:eastAsia="Didact Gothic" w:hAnsi="Didact Gothic"/>
          <w:color w:val="4a86e8"/>
          <w:u w:val="single"/>
        </w:rPr>
        <w:drawing>
          <wp:inline distB="19050" distT="19050" distL="19050" distR="19050">
            <wp:extent cx="2650801" cy="20934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5926" l="2562" r="49270" t="48168"/>
                    <a:stretch>
                      <a:fillRect/>
                    </a:stretch>
                  </pic:blipFill>
                  <pic:spPr>
                    <a:xfrm>
                      <a:off x="0" y="0"/>
                      <a:ext cx="2650801" cy="209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idact Gothic" w:cs="Didact Gothic" w:eastAsia="Didact Gothic" w:hAnsi="Didact Gothic"/>
          <w:color w:val="4a86e8"/>
          <w:u w:val="single"/>
        </w:rPr>
        <w:drawing>
          <wp:inline distB="19050" distT="19050" distL="19050" distR="19050">
            <wp:extent cx="2650801" cy="20934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5926" l="51832" r="0" t="48168"/>
                    <a:stretch>
                      <a:fillRect/>
                    </a:stretch>
                  </pic:blipFill>
                  <pic:spPr>
                    <a:xfrm>
                      <a:off x="0" y="0"/>
                      <a:ext cx="2650801" cy="209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shd w:fill="ffffff" w:val="clear"/>
        <w:spacing w:after="280" w:lineRule="auto"/>
        <w:rPr>
          <w:rFonts w:ascii="Didact Gothic" w:cs="Didact Gothic" w:eastAsia="Didact Gothic" w:hAnsi="Didact Gothic"/>
          <w:b w:val="1"/>
          <w:color w:val="666666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color w:val="666666"/>
          <w:sz w:val="24"/>
          <w:szCs w:val="24"/>
          <w:rtl w:val="0"/>
        </w:rPr>
        <w:t xml:space="preserve">RESUMEN DE LO VISTO EN CLASE</w:t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9"/>
        </w:numPr>
        <w:spacing w:line="276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El usuario en el centro de la estrategia: Customer Centricity.</w:t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9"/>
        </w:numPr>
        <w:spacing w:line="276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User persona y Arquetipo de persona.</w:t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9"/>
        </w:numPr>
        <w:spacing w:line="276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Mapa de empatía. </w:t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9"/>
        </w:numPr>
        <w:spacing w:line="276" w:lineRule="auto"/>
        <w:ind w:left="720" w:hanging="360"/>
        <w:rPr>
          <w:rFonts w:ascii="Helvetica Neue Light" w:cs="Helvetica Neue Light" w:eastAsia="Helvetica Neue Light" w:hAnsi="Helvetica Neue Light"/>
          <w:sz w:val="22"/>
          <w:szCs w:val="22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Customer Journey Map.</w:t>
      </w:r>
    </w:p>
    <w:p w:rsidR="00000000" w:rsidDel="00000000" w:rsidP="00000000" w:rsidRDefault="00000000" w:rsidRPr="00000000" w14:paraId="00000077">
      <w:pPr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Didact Gothic" w:cs="Didact Gothic" w:eastAsia="Didact Gothic" w:hAnsi="Didact Gothic"/>
          <w:b w:val="1"/>
          <w:i w:val="1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rtl w:val="0"/>
        </w:rPr>
        <w:t xml:space="preserve">Material ampliado de la clase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76" w:lineRule="auto"/>
        <w:ind w:left="0" w:firstLine="0"/>
        <w:rPr>
          <w:rFonts w:ascii="Didact Gothic" w:cs="Didact Gothic" w:eastAsia="Didact Gothic" w:hAnsi="Didact Gothic"/>
          <w:b w:val="1"/>
          <w:i w:val="1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100 things every designer needs to know about people</w:t>
      </w:r>
      <w:r w:rsidDel="00000000" w:rsidR="00000000" w:rsidRPr="00000000">
        <w:rPr>
          <w:rFonts w:ascii="Helvetica Neue Light" w:cs="Helvetica Neue Light" w:eastAsia="Helvetica Neue Light" w:hAnsi="Helvetica Neue Light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| </w:t>
      </w:r>
      <w:r w:rsidDel="00000000" w:rsidR="00000000" w:rsidRPr="00000000">
        <w:rPr>
          <w:rFonts w:ascii="Didact Gothic" w:cs="Didact Gothic" w:eastAsia="Didact Gothic" w:hAnsi="Didact Gothic"/>
          <w:b w:val="1"/>
          <w:i w:val="1"/>
          <w:rtl w:val="0"/>
        </w:rPr>
        <w:t xml:space="preserve">Susan M. Weinschenk</w:t>
      </w:r>
    </w:p>
    <w:p w:rsidR="00000000" w:rsidDel="00000000" w:rsidP="00000000" w:rsidRDefault="00000000" w:rsidRPr="00000000" w14:paraId="0000007A">
      <w:pPr>
        <w:widowControl w:val="0"/>
        <w:spacing w:line="276" w:lineRule="auto"/>
        <w:ind w:left="0" w:firstLine="0"/>
        <w:rPr>
          <w:rFonts w:ascii="Didact Gothic" w:cs="Didact Gothic" w:eastAsia="Didact Gothic" w:hAnsi="Didact Gothic"/>
          <w:b w:val="1"/>
          <w:i w:val="1"/>
        </w:rPr>
      </w:pP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Management y liderazgo</w:t>
      </w:r>
      <w:r w:rsidDel="00000000" w:rsidR="00000000" w:rsidRPr="00000000">
        <w:rPr>
          <w:rFonts w:ascii="Helvetica Neue Light" w:cs="Helvetica Neue Light" w:eastAsia="Helvetica Neue Light" w:hAnsi="Helvetica Neue Light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Didact Gothic" w:cs="Didact Gothic" w:eastAsia="Didact Gothic" w:hAnsi="Didact Gothic"/>
          <w:rtl w:val="0"/>
        </w:rPr>
        <w:t xml:space="preserve">|</w:t>
      </w:r>
      <w:r w:rsidDel="00000000" w:rsidR="00000000" w:rsidRPr="00000000">
        <w:rPr>
          <w:rFonts w:ascii="Helvetica Neue Light" w:cs="Helvetica Neue Light" w:eastAsia="Helvetica Neue Light" w:hAnsi="Helvetica Neue Light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Didact Gothic" w:cs="Didact Gothic" w:eastAsia="Didact Gothic" w:hAnsi="Didact Gothic"/>
          <w:b w:val="1"/>
          <w:i w:val="1"/>
          <w:rtl w:val="0"/>
        </w:rPr>
        <w:t xml:space="preserve">Peter Drucker</w:t>
      </w:r>
    </w:p>
    <w:p w:rsidR="00000000" w:rsidDel="00000000" w:rsidP="00000000" w:rsidRDefault="00000000" w:rsidRPr="00000000" w14:paraId="0000007B">
      <w:pPr>
        <w:widowControl w:val="0"/>
        <w:spacing w:line="276" w:lineRule="auto"/>
        <w:ind w:left="0" w:firstLine="0"/>
        <w:rPr>
          <w:rFonts w:ascii="Didact Gothic" w:cs="Didact Gothic" w:eastAsia="Didact Gothic" w:hAnsi="Didact Gothic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rFonts w:ascii="Didact Gothic" w:cs="Didact Gothic" w:eastAsia="Didact Gothic" w:hAnsi="Didact Gothic"/>
          <w:b w:val="1"/>
          <w:i w:val="1"/>
        </w:rPr>
      </w:pPr>
      <w:r w:rsidDel="00000000" w:rsidR="00000000" w:rsidRPr="00000000">
        <w:rPr>
          <w:rFonts w:ascii="Didact Gothic" w:cs="Didact Gothic" w:eastAsia="Didact Gothic" w:hAnsi="Didact Gothic"/>
          <w:sz w:val="26"/>
          <w:szCs w:val="26"/>
          <w:rtl w:val="0"/>
        </w:rPr>
        <w:t xml:space="preserve">#DemocratizandolaEducación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Didact Gothic" w:cs="Didact Gothic" w:eastAsia="Didact Gothic" w:hAnsi="Didact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ton">
    <w:embedRegular w:fontKey="{00000000-0000-0000-0000-000000000000}" r:id="rId1" w:subsetted="0"/>
  </w:font>
  <w:font w:name="Didact Gothic">
    <w:embedRegular w:fontKey="{00000000-0000-0000-0000-000000000000}" r:id="rId2" w:subsetted="0"/>
  </w:font>
  <w:font w:name="Helvetica Neue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1"/>
        <w:smallCaps w:val="0"/>
        <w:strike w:val="0"/>
        <w:color w:val="000000"/>
        <w:sz w:val="12"/>
        <w:szCs w:val="1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ef89d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ef89d2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ef89d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434343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hyperlink" Target="https://www.nngroup.com/articles/ux-mapping-cheat-sheet/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www.businessinsider.es/23-productos-grandes-empresas-fueron-fracaso-total-207214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ton-regular.ttf"/><Relationship Id="rId2" Type="http://schemas.openxmlformats.org/officeDocument/2006/relationships/font" Target="fonts/DidactGothic-regular.ttf"/><Relationship Id="rId3" Type="http://schemas.openxmlformats.org/officeDocument/2006/relationships/font" Target="fonts/HelveticaNeueLight-regular.ttf"/><Relationship Id="rId4" Type="http://schemas.openxmlformats.org/officeDocument/2006/relationships/font" Target="fonts/HelveticaNeueLight-bold.ttf"/><Relationship Id="rId5" Type="http://schemas.openxmlformats.org/officeDocument/2006/relationships/font" Target="fonts/HelveticaNeueLight-italic.ttf"/><Relationship Id="rId6" Type="http://schemas.openxmlformats.org/officeDocument/2006/relationships/font" Target="fonts/HelveticaNeue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