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Задание 5. Организация и планирование работ</w:t>
      </w:r>
    </w:p>
    <w:p>
      <w:pPr>
        <w:spacing w:after="240"/>
      </w:pPr>
      <w:r>
        <w:t>На следующей странице этого документа составьте текст соответствующего раздела технико-экономического обоснования, в котором приведите информацию об участниках проекта и ключевых этапах его реализации.</w:t>
      </w:r>
    </w:p>
    <w:p>
      <w:r>
        <w:br w:type="page"/>
      </w:r>
    </w:p>
    <w:p>
      <w:pPr>
        <w:spacing w:after="240"/>
      </w:pPr>
      <w:r>
        <w:rPr>
          <w:b/>
          <w:sz w:val="28"/>
        </w:rPr>
        <w:t>Организация и планирование работ</w:t>
      </w:r>
    </w:p>
    <w:p>
      <w:pPr>
        <w:spacing w:after="120"/>
        <w:ind w:firstLine="720"/>
      </w:pPr>
      <w:r>
        <w:rPr>
          <w:sz w:val="24"/>
        </w:rPr>
        <w:t>Проект реализуется одним исполнителем в рамках выпускной квалификационной работы. Исполнитель совмещает все роли: анализ требований, проектирование, разработку серверной и клиентской частей, тестирование, развёртывание и документирование. Научный руководитель консультирует по направлению работы, проверяет промежуточные результаты и помогает с техническими вопросами при необходимости.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Участник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Зона ответственности</w:t>
            </w:r>
          </w:p>
        </w:tc>
      </w:tr>
      <w:tr>
        <w:tc>
          <w:tcPr>
            <w:tcW w:type="dxa" w:w="2880"/>
          </w:tcPr>
          <w:p>
            <w:r>
              <w:t>Научный руководитель</w:t>
            </w:r>
          </w:p>
        </w:tc>
        <w:tc>
          <w:tcPr>
            <w:tcW w:type="dxa" w:w="2880"/>
          </w:tcPr>
          <w:p>
            <w:r>
              <w:t>Консультант</w:t>
            </w:r>
          </w:p>
        </w:tc>
        <w:tc>
          <w:tcPr>
            <w:tcW w:type="dxa" w:w="2880"/>
          </w:tcPr>
          <w:p>
            <w:r>
              <w:t>Направление работы, проверка результатов, консультации</w:t>
            </w:r>
          </w:p>
        </w:tc>
      </w:tr>
      <w:tr>
        <w:tc>
          <w:tcPr>
            <w:tcW w:type="dxa" w:w="2880"/>
          </w:tcPr>
          <w:p>
            <w:r>
              <w:t>Студент</w:t>
            </w:r>
          </w:p>
        </w:tc>
        <w:tc>
          <w:tcPr>
            <w:tcW w:type="dxa" w:w="2880"/>
          </w:tcPr>
          <w:p>
            <w:r>
              <w:t>Исполнитель</w:t>
            </w:r>
          </w:p>
        </w:tc>
        <w:tc>
          <w:tcPr>
            <w:tcW w:type="dxa" w:w="2880"/>
          </w:tcPr>
          <w:p>
            <w:r>
              <w:t>Полный цикл разработки: анализ, проектирование, код, тесты, документация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Проект разбит на шесть этапов: анализ (исследование рынка, формирование требований); проектирование (архитектура системы, UI/UX); разработка backend (парсеры, БД, API, ML-модели, RAG-система); разработка frontend (React-интерфейс); тестирование и развёртывание; документирование (написание ВКР).</w:t>
      </w:r>
    </w:p>
    <w:p>
      <w:pPr>
        <w:spacing w:after="120"/>
        <w:ind w:firstLine="720"/>
      </w:pPr>
      <w:r>
        <w:rPr>
          <w:sz w:val="24"/>
        </w:rPr>
        <w:t>Общая продолжительность проекта - 95 дней. Работы частично выполняются параллельно: например, разработка парсеров для разных источников, frontend и backend разработка.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Работа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Длит.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Сроки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Исследование рынка, сбор требований</w:t>
            </w:r>
          </w:p>
        </w:tc>
        <w:tc>
          <w:tcPr>
            <w:tcW w:type="dxa" w:w="2160"/>
          </w:tcPr>
          <w:p>
            <w:r>
              <w:t>10 дн.</w:t>
            </w:r>
          </w:p>
        </w:tc>
        <w:tc>
          <w:tcPr>
            <w:tcW w:type="dxa" w:w="2160"/>
          </w:tcPr>
          <w:p>
            <w:r>
              <w:t>01.03 - 10.03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Разработка парсеров (4 источника)</w:t>
            </w:r>
          </w:p>
        </w:tc>
        <w:tc>
          <w:tcPr>
            <w:tcW w:type="dxa" w:w="2160"/>
          </w:tcPr>
          <w:p>
            <w:r>
              <w:t>12 дн.</w:t>
            </w:r>
          </w:p>
        </w:tc>
        <w:tc>
          <w:tcPr>
            <w:tcW w:type="dxa" w:w="2160"/>
          </w:tcPr>
          <w:p>
            <w:r>
              <w:t>05.03 - 16.03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Проектирование архитектуры и UI</w:t>
            </w:r>
          </w:p>
        </w:tc>
        <w:tc>
          <w:tcPr>
            <w:tcW w:type="dxa" w:w="2160"/>
          </w:tcPr>
          <w:p>
            <w:r>
              <w:t>13 дн.</w:t>
            </w:r>
          </w:p>
        </w:tc>
        <w:tc>
          <w:tcPr>
            <w:tcW w:type="dxa" w:w="2160"/>
          </w:tcPr>
          <w:p>
            <w:r>
              <w:t>17.03 - 29.03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Реализация YDB и ChromaDB</w:t>
            </w:r>
          </w:p>
        </w:tc>
        <w:tc>
          <w:tcPr>
            <w:tcW w:type="dxa" w:w="2160"/>
          </w:tcPr>
          <w:p>
            <w:r>
              <w:t>9 дн.</w:t>
            </w:r>
          </w:p>
        </w:tc>
        <w:tc>
          <w:tcPr>
            <w:tcW w:type="dxa" w:w="2160"/>
          </w:tcPr>
          <w:p>
            <w:r>
              <w:t>25.03 - 02.04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Разработка FastAPI и RAG</w:t>
            </w:r>
          </w:p>
        </w:tc>
        <w:tc>
          <w:tcPr>
            <w:tcW w:type="dxa" w:w="2160"/>
          </w:tcPr>
          <w:p>
            <w:r>
              <w:t>15 дн.</w:t>
            </w:r>
          </w:p>
        </w:tc>
        <w:tc>
          <w:tcPr>
            <w:tcW w:type="dxa" w:w="2160"/>
          </w:tcPr>
          <w:p>
            <w:r>
              <w:t>03.04 - 17.04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Разработка ML-моделей прогнозирования</w:t>
            </w:r>
          </w:p>
        </w:tc>
        <w:tc>
          <w:tcPr>
            <w:tcW w:type="dxa" w:w="2160"/>
          </w:tcPr>
          <w:p>
            <w:r>
              <w:t>14 дн.</w:t>
            </w:r>
          </w:p>
        </w:tc>
        <w:tc>
          <w:tcPr>
            <w:tcW w:type="dxa" w:w="2160"/>
          </w:tcPr>
          <w:p>
            <w:r>
              <w:t>11.04 - 24.04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Разработка React-интерфейса</w:t>
            </w:r>
          </w:p>
        </w:tc>
        <w:tc>
          <w:tcPr>
            <w:tcW w:type="dxa" w:w="2160"/>
          </w:tcPr>
          <w:p>
            <w:r>
              <w:t>11 дн.</w:t>
            </w:r>
          </w:p>
        </w:tc>
        <w:tc>
          <w:tcPr>
            <w:tcW w:type="dxa" w:w="2160"/>
          </w:tcPr>
          <w:p>
            <w:r>
              <w:t>30.03 - 09.04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Интеграция и развёртывание</w:t>
            </w:r>
          </w:p>
        </w:tc>
        <w:tc>
          <w:tcPr>
            <w:tcW w:type="dxa" w:w="2160"/>
          </w:tcPr>
          <w:p>
            <w:r>
              <w:t>12 дн.</w:t>
            </w:r>
          </w:p>
        </w:tc>
        <w:tc>
          <w:tcPr>
            <w:tcW w:type="dxa" w:w="2160"/>
          </w:tcPr>
          <w:p>
            <w:r>
              <w:t>25.04 - 06.05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Тестирование</w:t>
            </w:r>
          </w:p>
        </w:tc>
        <w:tc>
          <w:tcPr>
            <w:tcW w:type="dxa" w:w="2160"/>
          </w:tcPr>
          <w:p>
            <w:r>
              <w:t>6 дн.</w:t>
            </w:r>
          </w:p>
        </w:tc>
        <w:tc>
          <w:tcPr>
            <w:tcW w:type="dxa" w:w="2160"/>
          </w:tcPr>
          <w:p>
            <w:r>
              <w:t>07.05 - 12.05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Написание и оформление ВКР</w:t>
            </w:r>
          </w:p>
        </w:tc>
        <w:tc>
          <w:tcPr>
            <w:tcW w:type="dxa" w:w="2160"/>
          </w:tcPr>
          <w:p>
            <w:r>
              <w:t>15 дн.</w:t>
            </w:r>
          </w:p>
        </w:tc>
        <w:tc>
          <w:tcPr>
            <w:tcW w:type="dxa" w:w="2160"/>
          </w:tcPr>
          <w:p>
            <w:r>
              <w:t>13.05 - 27.05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Защита ВКР</w:t>
            </w:r>
          </w:p>
        </w:tc>
        <w:tc>
          <w:tcPr>
            <w:tcW w:type="dxa" w:w="2160"/>
          </w:tcPr>
          <w:p>
            <w:r>
              <w:t>1 дн.</w:t>
            </w:r>
          </w:p>
        </w:tc>
        <w:tc>
          <w:tcPr>
            <w:tcW w:type="dxa" w:w="2160"/>
          </w:tcPr>
          <w:p>
            <w:r>
              <w:t>~05.06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Диаграмма Ганта с детализацией представлена в отдельном файле (GANTT_RISKS.drawio). Критический путь выделен красным.</w:t>
      </w:r>
    </w:p>
    <w:p>
      <w:pPr>
        <w:spacing w:after="120"/>
        <w:ind w:firstLine="720"/>
      </w:pPr>
      <w:r>
        <w:rPr>
          <w:sz w:val="24"/>
        </w:rPr>
        <w:t>Итоговые показатели: продолжительность - 95 дней; трудоёмкость - 135 человеко-дней; плановая дата начала - 1 марта 2026 года; плановая дата защиты - начало июня 2026 года.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