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7. Оценка эффекта от реализации проекта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приведите информацию о планируемом экономическом эффекте от реализации проекта.</w:t>
      </w:r>
    </w:p>
    <w:p>
      <w:r>
        <w:br w:type="page"/>
      </w:r>
    </w:p>
    <w:p>
      <w:pPr>
        <w:spacing w:after="240"/>
      </w:pPr>
      <w:r>
        <w:rPr>
          <w:b/>
          <w:sz w:val="28"/>
        </w:rPr>
        <w:t>Оценка эффекта от реализации проекта</w:t>
      </w:r>
    </w:p>
    <w:p>
      <w:pPr>
        <w:spacing w:after="120"/>
        <w:ind w:firstLine="720"/>
      </w:pPr>
      <w:r>
        <w:rPr>
          <w:sz w:val="24"/>
        </w:rPr>
        <w:t>Продукт ориентирован на монетизацию через модель подписки (SaaS). Основной доход формируется от платных подписок бизнес-пользователей. Туристы пользуются сервисом бесплатно, создавая аудиторию и увеличивая ценность продукта для бизнеса.</w:t>
      </w:r>
    </w:p>
    <w:p>
      <w:pPr>
        <w:spacing w:after="120"/>
        <w:ind w:firstLine="720"/>
      </w:pPr>
      <w:r>
        <w:rPr>
          <w:sz w:val="24"/>
        </w:rPr>
        <w:t>Модель монетизации: бесплатный тариф - публичная аналитика, календарь событий, 5 запросов к AI в день; профессиональный тариф (1990 рублей в месяц) - полный доступ к прогнозам, детальная аналитика по конкурентам, безлимитные запросы к AI, экспорт данных.</w:t>
      </w:r>
    </w:p>
    <w:p>
      <w:pPr>
        <w:spacing w:after="120"/>
        <w:ind w:firstLine="720"/>
      </w:pPr>
      <w:r>
        <w:rPr>
          <w:sz w:val="24"/>
        </w:rPr>
        <w:t>Целевая аудитория для платного тарифа - владельцы и управляющие средств размещения (370 объектов в регионе), турагентства и туроператоры. Консервативный прогноз: охват 5% целевой аудитории к концу первого года (18-20 организаций), 10% к концу второго года (35-40 организаций).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Год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Год 2</w:t>
            </w:r>
          </w:p>
        </w:tc>
      </w:tr>
      <w:tr>
        <w:tc>
          <w:tcPr>
            <w:tcW w:type="dxa" w:w="2880"/>
          </w:tcPr>
          <w:p>
            <w:r>
              <w:t>Целевая аудитория (бизнес)</w:t>
            </w:r>
          </w:p>
        </w:tc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370</w:t>
            </w:r>
          </w:p>
        </w:tc>
      </w:tr>
      <w:tr>
        <w:tc>
          <w:tcPr>
            <w:tcW w:type="dxa" w:w="2880"/>
          </w:tcPr>
          <w:p>
            <w:r>
              <w:t>Охват (информированы)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Регистрации (конверсия 60%)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Платные подписки (конверсия 30%)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Прогноз выручки: первый год - постепенный рост от 2 подписчиков в Q1 до 9 к концу года. Второй год - рост до 18 подписчиков. Средняя выручка на подписчика - 1990 рублей в месяц.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960"/>
          </w:tcPr>
          <w:p>
            <w:r>
              <w:rPr>
                <w:b/>
              </w:rPr>
              <w:t>Q1</w:t>
            </w:r>
          </w:p>
        </w:tc>
        <w:tc>
          <w:tcPr>
            <w:tcW w:type="dxa" w:w="960"/>
          </w:tcPr>
          <w:p>
            <w:r>
              <w:rPr>
                <w:b/>
              </w:rPr>
              <w:t>Q2</w:t>
            </w:r>
          </w:p>
        </w:tc>
        <w:tc>
          <w:tcPr>
            <w:tcW w:type="dxa" w:w="960"/>
          </w:tcPr>
          <w:p>
            <w:r>
              <w:rPr>
                <w:b/>
              </w:rPr>
              <w:t>Q3</w:t>
            </w:r>
          </w:p>
        </w:tc>
        <w:tc>
          <w:tcPr>
            <w:tcW w:type="dxa" w:w="960"/>
          </w:tcPr>
          <w:p>
            <w:r>
              <w:rPr>
                <w:b/>
              </w:rPr>
              <w:t>Q4</w:t>
            </w:r>
          </w:p>
        </w:tc>
        <w:tc>
          <w:tcPr>
            <w:tcW w:type="dxa" w:w="960"/>
          </w:tcPr>
          <w:p>
            <w:r>
              <w:rPr>
                <w:b/>
              </w:rPr>
              <w:t>Q5</w:t>
            </w:r>
          </w:p>
        </w:tc>
        <w:tc>
          <w:tcPr>
            <w:tcW w:type="dxa" w:w="960"/>
          </w:tcPr>
          <w:p>
            <w:r>
              <w:rPr>
                <w:b/>
              </w:rPr>
              <w:t>Q6</w:t>
            </w:r>
          </w:p>
        </w:tc>
        <w:tc>
          <w:tcPr>
            <w:tcW w:type="dxa" w:w="960"/>
          </w:tcPr>
          <w:p>
            <w:r>
              <w:rPr>
                <w:b/>
              </w:rPr>
              <w:t>Q7</w:t>
            </w:r>
          </w:p>
        </w:tc>
        <w:tc>
          <w:tcPr>
            <w:tcW w:type="dxa" w:w="960"/>
          </w:tcPr>
          <w:p>
            <w:r>
              <w:rPr>
                <w:b/>
              </w:rPr>
              <w:t>Итого</w:t>
            </w:r>
          </w:p>
        </w:tc>
      </w:tr>
      <w:tr>
        <w:tc>
          <w:tcPr>
            <w:tcW w:type="dxa" w:w="960"/>
          </w:tcPr>
          <w:p>
            <w:r>
              <w:t>Подписчиков (средн.)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Выручка (руб.)</w:t>
            </w:r>
          </w:p>
        </w:tc>
        <w:tc>
          <w:tcPr>
            <w:tcW w:type="dxa" w:w="960"/>
          </w:tcPr>
          <w:p>
            <w:r>
              <w:t>11 940</w:t>
            </w:r>
          </w:p>
        </w:tc>
        <w:tc>
          <w:tcPr>
            <w:tcW w:type="dxa" w:w="960"/>
          </w:tcPr>
          <w:p>
            <w:r>
              <w:t>23 880</w:t>
            </w:r>
          </w:p>
        </w:tc>
        <w:tc>
          <w:tcPr>
            <w:tcW w:type="dxa" w:w="960"/>
          </w:tcPr>
          <w:p>
            <w:r>
              <w:t>35 820</w:t>
            </w:r>
          </w:p>
        </w:tc>
        <w:tc>
          <w:tcPr>
            <w:tcW w:type="dxa" w:w="960"/>
          </w:tcPr>
          <w:p>
            <w:r>
              <w:t>53 730</w:t>
            </w:r>
          </w:p>
        </w:tc>
        <w:tc>
          <w:tcPr>
            <w:tcW w:type="dxa" w:w="960"/>
          </w:tcPr>
          <w:p>
            <w:r>
              <w:t>71 640</w:t>
            </w:r>
          </w:p>
        </w:tc>
        <w:tc>
          <w:tcPr>
            <w:tcW w:type="dxa" w:w="960"/>
          </w:tcPr>
          <w:p>
            <w:r>
              <w:t>89 550</w:t>
            </w:r>
          </w:p>
        </w:tc>
        <w:tc>
          <w:tcPr>
            <w:tcW w:type="dxa" w:w="960"/>
          </w:tcPr>
          <w:p>
            <w:r>
              <w:t>107 460</w:t>
            </w:r>
          </w:p>
        </w:tc>
        <w:tc>
          <w:tcPr>
            <w:tcW w:type="dxa" w:w="960"/>
          </w:tcPr>
          <w:p>
            <w:r>
              <w:t>394 020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Итого выручка за 20 месяцев эксплуатации: 394 020 рублей.</w:t>
      </w:r>
    </w:p>
    <w:p>
      <w:pPr>
        <w:spacing w:after="120"/>
        <w:ind w:firstLine="720"/>
      </w:pPr>
      <w:r>
        <w:rPr>
          <w:sz w:val="24"/>
        </w:rPr>
        <w:t>Дополнительный эффект для пользователей: экономия времени на сбор информации (оценочно 2-4 часа в неделю на пользователя), повышение качества решений благодаря прогнозной аналитике. Эти эффекты сложно монетизировать напрямую, но они повышают лояльность пользователей и способствуют органическому росту.</w:t>
      </w:r>
    </w:p>
    <w:p>
      <w:pPr>
        <w:spacing w:after="120"/>
        <w:ind w:firstLine="720"/>
      </w:pPr>
      <w:r>
        <w:rPr>
          <w:sz w:val="24"/>
        </w:rPr>
        <w:t>При успешной валидации MVP возможно масштабирование на другие туристические регионы (Краснодарский край, Крым, Алтай), что кратно увеличит потенциальную выручку.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Прогноз выручки за 20 месяцев</w:t>
            </w:r>
          </w:p>
        </w:tc>
        <w:tc>
          <w:tcPr>
            <w:tcW w:type="dxa" w:w="4320"/>
          </w:tcPr>
          <w:p>
            <w:r>
              <w:t>394 020 руб.</w:t>
            </w:r>
          </w:p>
        </w:tc>
      </w:tr>
      <w:tr>
        <w:tc>
          <w:tcPr>
            <w:tcW w:type="dxa" w:w="4320"/>
          </w:tcPr>
          <w:p>
            <w:r>
              <w:t>Целевое количество подписчиков (год 2)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Средний чек</w:t>
            </w:r>
          </w:p>
        </w:tc>
        <w:tc>
          <w:tcPr>
            <w:tcW w:type="dxa" w:w="4320"/>
          </w:tcPr>
          <w:p>
            <w:r>
              <w:t>1 990 руб./мес.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