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Заголовокпервогоуровня"/>
      </w:pPr>
      <w:r>
        <w:rPr>
          <w:rFonts w:ascii="Times New Roman" w:hAnsi="Times New Roman" w:eastAsia="Times New Roman" w:cs="Times New Roman"/>
          <w:b/>
          <w:sz w:val="28"/>
        </w:rPr>
        <w:t>ПРИЛОЖЕНИЕ А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Расчётная часть технико-экономического обоснования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Приложение содержит расчёты экономической эффективности проекта на горизонте двадцать четыре месяца. Описание продукта, аудитории и технологического стека, сравнительный анализ существующих RMS-сервисов и обоснование выбора инструментов приведены в основном тексте отчёта (подглавы 1.1, 1.2, 1.4, 2.1–2.3) и здесь не дублируются.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А.1 Параметры расчёта и допущения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Горизонт планирования — 24 месяца с момента старта эксплуатации (июнь 2026 — май 2028 года). Ставка дисконтирования принята равной 21 % годовых: ключевая ставка Банка России порядка 14,5 % на начало 2026 года плюс премия за риск 6,5 % для SaaS-проекта на стадии работающего минимально жизнеспособного продукта (MVP, Minimum Viable Product). Премия меньше типичной для seed-стадии венчурных инвестиций (10–15 %), поскольку техническая реализуемость продукта подтверждена работающим прототипом. Месячная ставка дисконтирования получена приведением годовой по формуле сложных процентов: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r_м = (1 + 0,21)^(1/12) − 1 = 1,601 %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Расчёт ведётся в двух вариантах учёта затрат. Полный вариант включает альтернативные издержки времени разработчика (288 часов × 500 ₽/час = 144 000 ₽) в инвестиционной базе. Денежный вариант учитывает только реальные оттоки. Двойная оценка принята в инвестиционной практике для проектов, где трудозатраты не превращаются в денежный поток, но представляют упущенную выгоду.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Используемые показатели и формулы расчёта.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— Чистая приведённая стоимость (Net Present Value, NPV) — сумма дисконтированных чистых денежных потоков за вычетом инвестиций: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NPV = −I + Σ(t=1..24) CF_t / (1 + r_м)^t</w:t>
      </w:r>
      <w:r>
        <w:rPr>
          <w:rFonts w:ascii="Times New Roman" w:hAnsi="Times New Roman" w:eastAsia="Times New Roman" w:cs="Times New Roman"/>
          <w:sz w:val="28"/>
        </w:rPr>
        <w:t>,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где </w:t>
      </w:r>
      <w:r>
        <w:rPr>
          <w:rFonts w:ascii="Times New Roman" w:hAnsi="Times New Roman" w:eastAsia="Times New Roman" w:cs="Times New Roman"/>
          <w:sz w:val="28"/>
        </w:rPr>
        <w:t>I</w:t>
      </w:r>
      <w:r>
        <w:rPr>
          <w:rFonts w:ascii="Times New Roman" w:hAnsi="Times New Roman" w:eastAsia="Times New Roman" w:cs="Times New Roman"/>
          <w:sz w:val="28"/>
        </w:rPr>
        <w:t xml:space="preserve"> — инвестиционный отток в момент 0; </w:t>
      </w:r>
      <w:r>
        <w:rPr>
          <w:rFonts w:ascii="Times New Roman" w:hAnsi="Times New Roman" w:eastAsia="Times New Roman" w:cs="Times New Roman"/>
          <w:sz w:val="28"/>
        </w:rPr>
        <w:t>CF_t</w:t>
      </w:r>
      <w:r>
        <w:rPr>
          <w:rFonts w:ascii="Times New Roman" w:hAnsi="Times New Roman" w:eastAsia="Times New Roman" w:cs="Times New Roman"/>
          <w:sz w:val="28"/>
        </w:rPr>
        <w:t xml:space="preserve"> — чистый денежный поток месяца </w:t>
      </w:r>
      <w:r>
        <w:rPr>
          <w:rFonts w:ascii="Times New Roman" w:hAnsi="Times New Roman" w:eastAsia="Times New Roman" w:cs="Times New Roman"/>
          <w:sz w:val="28"/>
        </w:rPr>
        <w:t>t</w:t>
      </w:r>
      <w:r>
        <w:rPr>
          <w:rFonts w:ascii="Times New Roman" w:hAnsi="Times New Roman" w:eastAsia="Times New Roman" w:cs="Times New Roman"/>
          <w:sz w:val="28"/>
        </w:rPr>
        <w:t>, равный разности доходов и совокупных оттоков (постоянные эксплуатационные затраты и обязательные платежи в бюджет).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— Простой срок окупаемости (Payback Period, PP) — наименьшее </w:t>
      </w:r>
      <w:r>
        <w:rPr>
          <w:rFonts w:ascii="Times New Roman" w:hAnsi="Times New Roman" w:eastAsia="Times New Roman" w:cs="Times New Roman"/>
          <w:sz w:val="28"/>
        </w:rPr>
        <w:t>t</w:t>
      </w:r>
      <w:r>
        <w:rPr>
          <w:rFonts w:ascii="Times New Roman" w:hAnsi="Times New Roman" w:eastAsia="Times New Roman" w:cs="Times New Roman"/>
          <w:sz w:val="28"/>
        </w:rPr>
        <w:t>, при котором накопленная сумма недисконтированных потоков покрывает инвестиции. Дисконтированный срок окупаемости (Discounted Payback Period, DPP) — то же для дисконтированных потоков.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— Внутренняя норма доходности (Internal Rate of Return, IRR) — ставка, при которой </w:t>
      </w:r>
      <w:r>
        <w:rPr>
          <w:rFonts w:ascii="Times New Roman" w:hAnsi="Times New Roman" w:eastAsia="Times New Roman" w:cs="Times New Roman"/>
          <w:sz w:val="28"/>
        </w:rPr>
        <w:t>NPV = 0</w:t>
      </w:r>
      <w:r>
        <w:rPr>
          <w:rFonts w:ascii="Times New Roman" w:hAnsi="Times New Roman" w:eastAsia="Times New Roman" w:cs="Times New Roman"/>
          <w:sz w:val="28"/>
        </w:rPr>
        <w:t xml:space="preserve">. Рассчитывается численно методом дихотомии и приводится к годовому выражению </w:t>
      </w:r>
      <w:r>
        <w:rPr>
          <w:rFonts w:ascii="Times New Roman" w:hAnsi="Times New Roman" w:eastAsia="Times New Roman" w:cs="Times New Roman"/>
          <w:sz w:val="28"/>
        </w:rPr>
        <w:t>(1 + r_м_irr)^12 − 1</w:t>
      </w:r>
      <w:r>
        <w:rPr>
          <w:rFonts w:ascii="Times New Roman" w:hAnsi="Times New Roman" w:eastAsia="Times New Roman" w:cs="Times New Roman"/>
          <w:sz w:val="28"/>
        </w:rPr>
        <w:t>. Сравнение IRR с принятой ставкой дисконтирования показывает запас экономической эффективности проекта.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— Скорректированный индекс прибыльности (Profitability Index, PI) — отношение приведённой стоимости положительных потоков к приведённой стоимости совокупных оттоков, включая инвестиционные, операционные и бюджетные: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PI_скорр = PV(притоков) / [I + PV(операционных оттоков и бюджетных платежей)]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Стандартная формула </w:t>
      </w:r>
      <w:r>
        <w:rPr>
          <w:rFonts w:ascii="Times New Roman" w:hAnsi="Times New Roman" w:eastAsia="Times New Roman" w:cs="Times New Roman"/>
          <w:sz w:val="28"/>
        </w:rPr>
        <w:t>PI = (NPV / I) + 1</w:t>
      </w:r>
      <w:r>
        <w:rPr>
          <w:rFonts w:ascii="Times New Roman" w:hAnsi="Times New Roman" w:eastAsia="Times New Roman" w:cs="Times New Roman"/>
          <w:sz w:val="28"/>
        </w:rPr>
        <w:t xml:space="preserve"> для проекта с малой стартовой инвестицией и значимыми операционными расходами даёт неинтерпретируемое значение и в расчётах не используется.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Принятые допущения.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1. Расчёт ведётся в номинальных рублях; ставка дисконтирования 21 % включает инфляционную компоненту, поэтому отдельная индексация выручки не вводится.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2. Подписная база растёт по логистической кривой </w:t>
      </w:r>
      <w:r>
        <w:rPr>
          <w:rFonts w:ascii="Times New Roman" w:hAnsi="Times New Roman" w:eastAsia="Times New Roman" w:cs="Times New Roman"/>
          <w:sz w:val="28"/>
        </w:rPr>
        <w:t>N(t) = K / (1 + e^(−0,3(t − 14)))</w:t>
      </w:r>
      <w:r>
        <w:rPr>
          <w:rFonts w:ascii="Times New Roman" w:hAnsi="Times New Roman" w:eastAsia="Times New Roman" w:cs="Times New Roman"/>
          <w:sz w:val="28"/>
        </w:rPr>
        <w:t xml:space="preserve"> с медленным стартом первые 6 месяцев, активным ростом 7–18 мес и насыщением к 22–24 мес.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3. Trial 14 дней — маркетинговый инструмент, в выручке не учитывается.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4. ИП без работников: налог по упрощённой системе налогообложения 6 % уменьшается на сумму страховых взносов в полном объёме (в пределах суммы налога) согласно статье 346.21 Налогового кодекса Российской Федерации.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5. Цены подписок фиксированы в номинальных рублях на горизонте 24 месяцев.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6. Маркетинговые расходы не моделируются: продажи планируются через прямые контакты с Агентством по туризму Иркутской области, академические партнёрства с ИРНИТУ и БГУ и демонстрации на отраслевых мероприятиях.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7. Бюджетные платежи отнесены к концам эксплуатационных годов (месяцы 12 и 24) — упрощение для дисконтирования; реальный график страховых взносов и УСН по Налоговому кодексу распределяет платежи иначе, но на годовую сумму это не влияет.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А.2 Тарифная сетка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Бизнес-модель — SaaS-подписка с четырьмя платными тарифами и пробным доступом 14 дней. Сегменты аудитории и обоснование тарифной структуры описаны в подглаве 1.4. Параметры тарифов приведены в таблице А.1.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А.1 — Тарифная сетка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Тариф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Сегмент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Цена, ₽/мес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Состав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Trial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Любой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 (14 дней)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Полный функционал на пробный период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Starter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Отельер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3 500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Прогноз 14 дней, RMS-метрики, импакт событий — один объект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Pro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Сеть отельера до 5 объектов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9 900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Функции Starter + сравнительная аналитика по сети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Region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Региональная администрация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Агрегаты по 15 районам, безлимитный экспорт CSV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Research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Академическая группа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Доступ к API, методология расчёта метрик</w:t>
            </w:r>
          </w:p>
        </w:tc>
      </w:tr>
    </w:tbl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А.3 Структура затрат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Совокупные затраты на горизонт 24 месяца сведены в таблице А.2.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А.2 — Сводка затрат за 24 месяца,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Статья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Год 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Год 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Итого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Инвестиционные затраты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Юридическое оформление ИП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30 000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Альтернативные издержки времени (288 ч × 500 ₽)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144 000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144 000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Постоянные эксплуатационные затраты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Хостинг Yandex Cloud B2.medium (3 000 ₽/мес)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36 000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36 000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72 000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Мониторинг (500 ₽/мес)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12 000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Доменное имя </w:t>
            </w:r>
            <w:r>
              <w:rPr>
                <w:rFonts w:ascii="Times New Roman" w:hAnsi="Times New Roman" w:eastAsia="Times New Roman" w:cs="Times New Roman"/>
                <w:sz w:val="24"/>
              </w:rPr>
              <w:t>.ru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(83 ₽/мес)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996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996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1 992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Резервный LLM-провайдер (200 ₽/мес со 2-го года)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2 400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2 400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Бухгалтерское обслуживание (1 500 ₽/мес со 2-го года)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18 000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18 000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Обязательные платежи в бюджет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Фиксированные страховые взносы ИП (ст. 430 НК РФ)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57 390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60 260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117 650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Доп. 1 % с дохода свыше 300 000 ₽/год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12 612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12 612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Налог УСН 6 % после уменьшения на взносы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20 799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20 799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Итого совокупных затрат (полные)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274 386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157 067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431 453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В т. ч. реальных денежных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130 386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157 067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287 453</w:t>
            </w:r>
          </w:p>
        </w:tc>
      </w:tr>
    </w:tbl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Методика обязательных платежей. ИП на упрощённой системе налогообложения 6 % уменьшает налог на сумму страховых взносов; ИП без работников может уменьшить налог на 100 % суммы взносов в пределах величины самого налога. В первый год эксплуатации доход 274 793 ₽ ниже порога 300 000 ₽, доп. 1 %-ный взнос равен нулю; теоретический УСН 16 488 ₽ полностью съедается фиксированными взносами 57 390 ₽. Во второй год доход 1 561 185 ₽ даёт доп. 1 % = (1 561 185 − 300 000) × 0,01 = 12 612 ₽; теоретический УСН 93 671 ₽ уменьшается на сумму всех взносов (60 260 + 12 612 = 72 872 ₽) до фактического 20 799 ₽.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А.4 Прогноз доходов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Подписная база моделируется логистической кривой </w:t>
      </w:r>
      <w:r>
        <w:rPr>
          <w:rFonts w:ascii="Times New Roman" w:hAnsi="Times New Roman" w:eastAsia="Times New Roman" w:cs="Times New Roman"/>
          <w:sz w:val="28"/>
        </w:rPr>
        <w:t>N(t) = K / (1 + e^(−0,3(t − 14)))</w:t>
      </w:r>
      <w:r>
        <w:rPr>
          <w:rFonts w:ascii="Times New Roman" w:hAnsi="Times New Roman" w:eastAsia="Times New Roman" w:cs="Times New Roman"/>
          <w:sz w:val="28"/>
        </w:rPr>
        <w:t xml:space="preserve"> с медленным стартом первые 6 месяцев (период первых пилотов и формирования референс-кейса), активным ростом 7–18 мес и насыщением к 22–24 мес. Целевая структура — 24 Starter, 5 Pro, 1 Region, 2 Research, что даёт целевой MRR 173 500 ₽/мес. На двадцать четвёртом месяце эксплуатации модель даёт около 30 подписчиков и MRR 165 274 ₽ — это 95 % от асимптоты; полное насыщение приходится на 28–30-й месяц. Поквартальная динамика приведена в таблице А.3.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А.3 — Поквартальный прогноз доходов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Квартал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Подписчики на конце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MRR, ₽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Доход за квартал, ₽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Q1 (мес 1–3)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1,1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6 172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14 228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Q2 (мес 4–6)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2,7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14 430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33 585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Q3 (мес 7–9)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5,8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31 651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75 190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Q4 (мес 10–12)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11,3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61 479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151 790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Q5 (мес 13–15)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18,4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99 666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260 250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Q6 (мес 16–18)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24,6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133 339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368 710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Q7 (мес 19–21)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28,5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154 572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445 310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Q8 (мес 22–24)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30,5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165 274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486 915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Доход год 1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274 793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Доход год 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1 561 185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Итого 24 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1 835 978</w:t>
            </w:r>
          </w:p>
        </w:tc>
      </w:tr>
    </w:tbl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Покрытие рынка отельеров к концу горизонта — 6,2 % (22,9 из 370 потенциальных). Это консервативная оценка для нишевого регионального сегмента, согласованная с типичными показателями SaaS-проникновения на ранней стадии.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Качественные эффекты в денежный поток не входят, но обосновывают подписку институционального и академического тарифов. Внедрение системы в Министерстве экономического развития освобождает аналитическую группу от ручного формирования месячного отчёта по средствам размещения — около 20 человеко-часов специалиста с оплатой 800 ₽/час, или 16 000 ₽/мес условной экономии. Воспроизводимый датасет с задокументированной методологией расчёта метрик создаёт основу для научных публикаций и формирует низкозатратный канал маркетинга через цитирование в отраслевых исследованиях.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Дополнительные показатели подписной базы. Средний доход на одного подписчика (Average Revenue Per User, ARPU) при целевой структуре составляет 5 422 ₽/мес (173 500 ₽ MRR / 32 подписчика). Валовая маржа на конце двадцать четвёртого месяца — около 96,8 % при операционных расходах 5 283 ₽/мес и MRR 165 274 ₽/мес; высокая маржа характерна для SaaS на собственной инфраструктуре без платного маркетинга.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Операционная безубыточность достигается при минимальной подписной базе. В первый год эксплуатации постоянные расходы 3 583 ₽/мес перекрываются одним подписчиком тарифа Starter (3 500 ₽/мес); согласно поквартальной модели порог преодолевается во втором квартале (мес 4–6). Во второй год при постоянных расходах 5 283 ₽/мес для безубыточности достаточно двух подписчиков Starter — порог пройден на старте второго года. Инвестиционная безубыточность с учётом стартовых вложений фиксируется на тринадцатом месяце для полного варианта учёта и на седьмом месяце для денежного (см. таблицу А.4).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А.5 Расчёт NPV для базового сценария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Помесячный расчёт NPV для базового сценария агрегирован по кварталам в таблице А.4. Накопленный NPV приведён для полного варианта учёта (инвестиции 174 000 ₽); для денежного варианта итоговое значение получается прибавлением разности инвестиционных баз 144 000 ₽ к каждому накопленному значению.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А.4 — Поквартальный расчёт NPV, базовый сценарий, ставка 21 % годовых, 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Период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Доход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Постоянные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Бюджет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Чистый поток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Дисконт. поток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Накопл. NPV (полный)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t = 0 (инвестиции)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−174 000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−174 000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−174 000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Q1 (мес 1–3)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14 228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10 749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3 479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3 329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−170 671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Q2 (мес 4–6)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33 585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10 749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22 836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21 003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−149 668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Q3 (мес 7–9)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75 190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10 749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64 441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56 578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−93 090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Q4 (мес 10–12)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151 790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10 749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57 390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83 651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70 725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−22 365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Q5 (мес 13–15)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260 250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15 849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244 401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195 356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172 991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Q6 (мес 16–18)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368 710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15 849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352 861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269 119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442 110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Q7 (мес 19–21)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445 310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15 849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429 461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312 450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754 559</w:t>
            </w:r>
          </w:p>
        </w:tc>
      </w:tr>
      <w:tr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Q8 (мес 22–24)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486 915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15 849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93 671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377 395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262 877</w:t>
            </w:r>
          </w:p>
        </w:tc>
        <w:tc>
          <w:tcPr>
            <w:tcW w:type="dxa" w:w="14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1 017 436</w:t>
            </w:r>
          </w:p>
        </w:tc>
      </w:tr>
    </w:tbl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Дисконтированный поток рассчитывается помесячно по формуле раздела А.1 и агрегируется по кварталам без потери точности. Накопленный NPV переходит в положительную область между кварталами Q4 и Q5 — это и есть дисконтированный срок окупаемости 13 месяцев в полном варианте учёта. В денежном варианте инвестиционная база 30 000 ₽, поэтому накопленный NPV пересекает ноль в первой половине Q3 — на седьмом месяце эксплуатации.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Внутренняя норма доходности базового сценария в полном варианте составляет 405 % годовых при месячной IRR 14,4 %; это многократно превышает принятую ставку дисконтирования 21 % годовых и отражает запас экономической эффективности проекта. В денежном варианте IRR теряет содержательную интерпретацию из-за крайне малой инвестиционной базы (30 000 ₽): любое положительное накопление денежного потока даёт формально астрономические значения. По этой причине показатель экономического возврата на капитал в денежном варианте оценивается через скорректированный индекс прибыльности 6,10.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А.6 Анализ риска и показатели эффективности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 xml:space="preserve">Анализ риска выполнен двумя методами. Сценарный анализ — три варианта по ключевому параметру проникновения: пессимистичный (двукратное снижение базовой кривой роста и ежемесячный отток подписчиков 5 % после шестого месяца), реалистичный (базовые допущения) и оптимистичный (полуторакратное превышение базовой кривой). Имитационная модель Монте-Карло — 10 000 итераций со случайным распределением проникновения (треугольное, вершины 0,5 / 1,0 / 1,5), оттока подписчиков (бета-распределение </w:t>
      </w:r>
      <w:r>
        <w:rPr>
          <w:rFonts w:ascii="Times New Roman" w:hAnsi="Times New Roman" w:eastAsia="Times New Roman" w:cs="Times New Roman"/>
          <w:sz w:val="28"/>
        </w:rPr>
        <w:t>Beta(2, 18)</w:t>
      </w:r>
      <w:r>
        <w:rPr>
          <w:rFonts w:ascii="Times New Roman" w:hAnsi="Times New Roman" w:eastAsia="Times New Roman" w:cs="Times New Roman"/>
          <w:sz w:val="28"/>
        </w:rPr>
        <w:t>, мода ≈ 5,6 %, среднее 10 %) и стоимости хостинга (треугольное, 2 500 / 3 000 / 6 000 ₽/мес; верхний хвост соответствует переходу на конфигурацию Yandex Cloud B2.large при росте нагрузки до 4 vCPU + 8 ГБ ОЗУ). Бюджетные платежи в каждой симуляции пересчитываются по фактическому годовому доходу.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Сценарные результаты приведены в таблице А.5.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А.5 — Сценарный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Показатель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Пессимистичный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Реалистичный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Оптимистичный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Penetration / churn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×0,5 / 5 %/мес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×1,0 / 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×1,5 / 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Совокупная выручка, ₽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516 868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1 835 978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2 753 968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NPV полный, ₽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49 698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1 017 436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1 679 022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NPV денежный, ₽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193 698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1 161 436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1 823 022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PP полный, 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18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DPP полный, 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PP денежный, 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DPP денежный, мес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IRR полный (годовая), %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405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663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PI скорректированный, полный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1,14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3,74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5,15</w:t>
            </w:r>
          </w:p>
        </w:tc>
      </w:tr>
      <w:tr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PI скорректированный, денежный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1,94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6,10</w:t>
            </w:r>
          </w:p>
        </w:tc>
        <w:tc>
          <w:tcPr>
            <w:tcW w:type="dxa" w:w="249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8,00</w:t>
            </w:r>
          </w:p>
        </w:tc>
      </w:tr>
    </w:tbl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В пессимистичном сценарии IRR полного варианта составляет 45 % годовых, что более чем в два раза превышает ставку дисконтирования 21 %; даже в этих условиях проект сохраняет положительный NPV и привлекательность для инвестора. В реалистичном и оптимистичном сценариях IRR превышает ставку дисконтирования на порядок. IRR денежного варианта во всех трёх сценариях формально превышает 460 % годовых из-за малой инвестиционной базы; для решения о коммерческом запуске в денежном варианте более информативны NPV, DPP и скорректированный PI.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Распределение NPV из имитационной модели приведено в таблице А.6.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b/>
          <w:sz w:val="28"/>
        </w:rPr>
        <w:t>Таблица А.6 — Распределение NPV, 10 000 итераций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Показатель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Полный вариант, ₽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Денежный вариант, ₽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P10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−144 605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−605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Медиана (P50)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173 535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317 535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P90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649 730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793 730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Среднее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217 468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361 468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Стандартное отклонение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300 816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  <w:t>300 816</w:t>
            </w:r>
          </w:p>
        </w:tc>
      </w:tr>
      <w:tr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Вероятность NPV &gt; 0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72,2 %</w:t>
            </w:r>
          </w:p>
        </w:tc>
        <w:tc>
          <w:tcPr>
            <w:tcW w:type="dxa" w:w="33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90,0 %</w:t>
            </w:r>
          </w:p>
        </w:tc>
      </w:tr>
    </w:tbl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Анализ чувствительности. При росте ставки дисконтирования с 21 % до 30 % годовых NPV полного варианта снижается с 1 017 436 до 899 153 ₽ (эластичность около 11,6 %), оставаясь существенно положительным. Чувствительность к региональному тарифу выражена сильнее: при отказе администрации от подписки совокупная выручка снижается до 1 518 518 ₽, NPV полного варианта — до 788 325 ₽; при подписке через тендер с премиальной ценой 100 000 ₽/мес — растут до 2 576 719 ₽ и 1 551 321 ₽ соответственно. Это даёт диапазон NPV полного варианта от 0,79 до 1,55 млн ₽ только за счёт неопределённости в институциональном клиенте — что обосновывает приоритет раннего пилота с региональной администрацией.</w:t>
      </w:r>
    </w:p>
    <w:p>
      <w:pPr>
        <w:pStyle w:val="Заголовоквторогоуровня"/>
      </w:pPr>
      <w:r>
        <w:rPr>
          <w:rFonts w:ascii="Times New Roman" w:hAnsi="Times New Roman" w:eastAsia="Times New Roman" w:cs="Times New Roman"/>
          <w:b/>
          <w:sz w:val="28"/>
        </w:rPr>
        <w:t>А.7 Выводы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Проект экономически целесообразен. NPV положителен во всех трёх сценариях в обоих вариантах учёта; реалистичный сценарий даёт NPV полный 1 017 436 ₽ при дисконтированной окупаемости 13 месяцев и NPV денежный 1 161 436 ₽ при окупаемости 7 месяцев. Внутренняя норма доходности полного варианта (405 % годовых в реалистичном сценарии и 45 % в пессимистичном) во всех случаях превышает ставку дисконтирования 21 % годовых. Имитационное моделирование оценивает вероятность убытка с учётом альтернативных издержек времени около 28 %, для реальных денежных вложений — около 10 %.</w:t>
      </w:r>
    </w:p>
    <w:p>
      <w:pPr>
        <w:pStyle w:val="Обычныйтекст"/>
      </w:pPr>
      <w:r>
        <w:rPr>
          <w:rFonts w:ascii="Times New Roman" w:hAnsi="Times New Roman" w:eastAsia="Times New Roman" w:cs="Times New Roman"/>
          <w:sz w:val="28"/>
        </w:rPr>
        <w:t>Минимальный денежный риск (30 000 ₽ на оформление ИП), быстрая окупаемость в денежном варианте, диверсифицированная четырёхтарифная структура подписки, операционная безубыточность при двух подписчиках и качественные эффекты в государственном и академическом сегментах формируют благоприятный профиль для решения о коммерческом запуске. Главный фактор неопределённости — скорость проникновения на B2B-рынок отельеров. Снижается приоритетным заходом в региональную администрацию: подписка тарифа Region формирует значимую долю годового дохода даже при умеренных темпах набора отельерской базы. Запуск рекомендован в июне 2026 года.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Обычныйтекст">
    <w:name w:val="Обычный текст"/>
    <w:uiPriority w:val="1"/>
    <w:qFormat/>
    <w:pPr>
      <w:spacing w:line="360" w:lineRule="auto" w:before="0" w:after="0"/>
      <w:ind w:firstLine="72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Заголовокпервогоуровня">
    <w:name w:val="Заголовок первого уровня"/>
    <w:basedOn w:val="Обычныйтекст"/>
    <w:uiPriority w:val="2"/>
    <w:qFormat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color w:val="000000"/>
    </w:rPr>
  </w:style>
  <w:style w:type="paragraph" w:customStyle="1" w:styleId="Заголовоквторогоуровня">
    <w:name w:val="Заголовок второго уровня"/>
    <w:basedOn w:val="Обычныйтекст"/>
    <w:uiPriority w:val="3"/>
    <w:qFormat/>
    <w:pPr>
      <w:spacing w:before="0" w:after="0"/>
      <w:outlineLvl w:val="1"/>
    </w:pPr>
    <w:rPr>
      <w:rFonts w:ascii="Times New Roman" w:hAnsi="Times New Roman" w:eastAsia="Times New Roman" w:cs="Times New Roman"/>
      <w:b/>
    </w:rPr>
  </w:style>
  <w:style w:type="paragraph" w:customStyle="1" w:styleId="Подписьрисунка">
    <w:name w:val="Подпись рисунка"/>
    <w:basedOn w:val="Обычныйтекст"/>
    <w:uiPriority w:val="4"/>
    <w:qFormat/>
    <w:pPr>
      <w:ind w:firstLine="0"/>
      <w:jc w:val="center"/>
    </w:pPr>
    <w:rPr>
      <w:rFonts w:ascii="Times New Roman" w:hAnsi="Times New Roman" w:eastAsia="Times New Roman" w:cs="Times New Roman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