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9e313cde98b98724bdd8e2a6097c126cfef11b6"/>
    <w:p>
      <w:pPr>
        <w:pStyle w:val="Heading1"/>
      </w:pPr>
      <w:r>
        <w:t xml:space="preserve">Proposal in Response to RFP: Enterprise Data Platform</w:t>
      </w:r>
    </w:p>
    <w:bookmarkStart w:id="9" w:name="X2a6b9a5fdb6f87c67069a9ac0f3ab60e2d4b75c"/>
    <w:p>
      <w:pPr>
        <w:pStyle w:val="Heading3"/>
      </w:pPr>
      <w:r>
        <w:t xml:space="preserve">Prepared for Acme Corp — Procurement Office</w:t>
      </w:r>
    </w:p>
    <w:bookmarkEnd w:id="9"/>
    <w:bookmarkStart w:id="10" w:name="submitted-by-bts-synthetic"/>
    <w:p>
      <w:pPr>
        <w:pStyle w:val="Heading3"/>
      </w:pPr>
      <w:r>
        <w:t xml:space="preserve">Submitted by BTS-Synthetic</w:t>
      </w:r>
    </w:p>
    <w:bookmarkEnd w:id="10"/>
    <w:bookmarkStart w:id="11" w:name="section"/>
    <w:p>
      <w:pPr>
        <w:pStyle w:val="Heading3"/>
      </w:pPr>
      <w:r>
        <w:t xml:space="preserve">2026-07-01</w:t>
      </w:r>
    </w:p>
    <w:p>
      <w:r>
        <w:pict>
          <v:rect style="width:0;height:1.5pt" o:hralign="center" o:hrstd="t" o:hr="t"/>
        </w:pict>
      </w:r>
    </w:p>
    <w:bookmarkEnd w:id="11"/>
    <w:bookmarkStart w:id="12" w:name="executive-summary"/>
    <w:p>
      <w:pPr>
        <w:pStyle w:val="Heading2"/>
      </w:pPr>
      <w:r>
        <w:t xml:space="preserve">Executive Summary</w:t>
      </w:r>
    </w:p>
    <w:p>
      <w:pPr>
        <w:pStyle w:val="Compact"/>
        <w:numPr>
          <w:ilvl w:val="0"/>
          <w:numId w:val="1001"/>
        </w:numPr>
      </w:pPr>
      <w:r>
        <w:rPr>
          <w:b/>
          <w:bCs/>
        </w:rPr>
        <w:t xml:space="preserve">Fit:</w:t>
      </w:r>
      <w:r>
        <w:t xml:space="preserve"> </w:t>
      </w:r>
      <w:r>
        <w:t xml:space="preserve">Our platform natively covers every workload in your RFP — real-time IoT ingest at your required scale, batch ETL from 30+ sources, self-service prep for your 150 engineers, and BI for your 600 analysts — with Power BI as our most mature, dedicated integration.</w:t>
      </w:r>
    </w:p>
    <w:p>
      <w:pPr>
        <w:pStyle w:val="Compact"/>
        <w:numPr>
          <w:ilvl w:val="0"/>
          <w:numId w:val="1001"/>
        </w:numPr>
      </w:pPr>
      <w:r>
        <w:rPr>
          <w:b/>
          <w:bCs/>
        </w:rPr>
        <w:t xml:space="preserve">Architecture:</w:t>
      </w:r>
      <w:r>
        <w:t xml:space="preserve"> </w:t>
      </w:r>
      <w:r>
        <w:t xml:space="preserve">A true lakehouse on open formats (Parquet, Delta, Iceberg) deployed across your primary EU and secondary US East regions, with per-table data residency enforcement so EU data never leaves the EU.</w:t>
      </w:r>
    </w:p>
    <w:p>
      <w:pPr>
        <w:pStyle w:val="Compact"/>
        <w:numPr>
          <w:ilvl w:val="0"/>
          <w:numId w:val="1001"/>
        </w:numPr>
      </w:pPr>
      <w:r>
        <w:rPr>
          <w:b/>
          <w:bCs/>
        </w:rPr>
        <w:t xml:space="preserve">Commercial:</w:t>
      </w:r>
      <w:r>
        <w:t xml:space="preserve"> </w:t>
      </w:r>
      <w:r>
        <w:t xml:space="preserve">A multi-year partnership structured around predictable total cost of ownership rather than headline discount — informed by comparable wins with industrial and IoT customers of your scale.</w:t>
      </w:r>
    </w:p>
    <w:bookmarkEnd w:id="12"/>
    <w:bookmarkStart w:id="13" w:name="our-understanding-of-your-need"/>
    <w:p>
      <w:pPr>
        <w:pStyle w:val="Heading2"/>
      </w:pPr>
      <w:r>
        <w:t xml:space="preserve">Our Understanding of Your Need</w:t>
      </w:r>
    </w:p>
    <w:p>
      <w:pPr>
        <w:pStyle w:val="FirstParagraph"/>
      </w:pPr>
      <w:r>
        <w:t xml:space="preserve">Acme is consolidating a patchwork of on-premises Teradata warehouses and ad-hoc cloud analytics into a single enterprise data platform, ahead of full legacy decommissioning by 2027. The platform must handle real-time ingest from ~40,000 field IoT devices (peaking at 80,000 events/second), batch ETL from 30+ internal sources, BI and reporting for 600 analysts and executives (with Power BI as a hard requirement), self-service data preparation for 150 data engineers, and a foundation for planned predictive-maintenance ML pipelines — all while meeting EU data residency requirements and operating across your Azure-primary, Microsoft-centric environment.</w:t>
      </w:r>
    </w:p>
    <w:bookmarkEnd w:id="13"/>
    <w:bookmarkStart w:id="14" w:name="why-were-the-right-fit"/>
    <w:p>
      <w:pPr>
        <w:pStyle w:val="Heading2"/>
      </w:pPr>
      <w:r>
        <w:t xml:space="preserve">Why We’re the Right Fit</w:t>
      </w:r>
    </w:p>
    <w:p>
      <w:pPr>
        <w:pStyle w:val="FirstParagraph"/>
      </w:pPr>
      <w:r>
        <w:rPr>
          <w:b/>
          <w:bCs/>
        </w:rPr>
        <w:t xml:space="preserve">Technical fit is strong across the board.</w:t>
      </w:r>
      <w:r>
        <w:t xml:space="preserve"> </w:t>
      </w:r>
      <w:r>
        <w:t xml:space="preserve">We meet your batch ETL, BI/Power BI, self-service prep, lakehouse/open-format, multi-region, and EU residency requirements fully today, and our model registry, feature store, and native model serving are already production-ready for your planned predictive-maintenance workloads. Your peak ingest requirement of 80,000 events/second sits comfortably within our tested throughput envelope, and we will validate end-to-end performance against your specific multi-region ingest topology during technical due diligence, alongside a joint review of your uptime requirements against our Enterprise SLA and available high-availability options.</w:t>
      </w:r>
    </w:p>
    <w:p>
      <w:pPr>
        <w:pStyle w:val="BodyText"/>
      </w:pPr>
      <w:r>
        <w:rPr>
          <w:b/>
          <w:bCs/>
        </w:rPr>
        <w:t xml:space="preserve">On competitive positioning:</w:t>
      </w:r>
      <w:r>
        <w:t xml:space="preserve"> </w:t>
      </w:r>
      <w:r>
        <w:t xml:space="preserve">we expect this evaluation to be a genuine three-way contest between Microsoft Fabric, Databricks, and Snowflake alongside our proposal. Our advantage is that we don’t force the trade-offs those platforms do — Fabric’s Power BI story comes at the cost of platform maturity, Databricks’ ML strength comes at the cost of analyst-friendly BI, and Snowflake’s analyst experience comes at the cost of real-time and semi-structured flexibility. We are the only vendor offering a mature, single platform across all five of your workloads at once. We will bring a detailed 5-year total-cost-of-ownership model to substantiate this in the technical proposal.</w:t>
      </w:r>
    </w:p>
    <w:bookmarkEnd w:id="14"/>
    <w:bookmarkStart w:id="15" w:name="commercial-proposal"/>
    <w:p>
      <w:pPr>
        <w:pStyle w:val="Heading2"/>
      </w:pPr>
      <w:r>
        <w:t xml:space="preserve">Commercial Proposal</w:t>
      </w:r>
    </w:p>
    <w:p>
      <w:pPr>
        <w:pStyle w:val="FirstParagraph"/>
      </w:pPr>
      <w:r>
        <w:t xml:space="preserve">We propose a 3-year initial term with a 2-year renewal option, priced against our Enterprise tier and structured for cost predictability over the full relationship rather than a single headline discount. Full pricing detail, discount structure, and payment terms will be presented in the accompanying commercial proposal and 5-year TCO model, benchmarked against comparable industrial and IoT engagements of similar scale. We are prepared to discuss annual billing cadence and payment terms that work within your standard AP processes, and to structure a volume true-up mechanism so your costs track actual usage as your data volumes grow.</w:t>
      </w:r>
    </w:p>
    <w:bookmarkEnd w:id="15"/>
    <w:bookmarkStart w:id="16" w:name="contract-approach"/>
    <w:p>
      <w:pPr>
        <w:pStyle w:val="Heading2"/>
      </w:pPr>
      <w:r>
        <w:t xml:space="preserve">Contract Approach</w:t>
      </w:r>
    </w:p>
    <w:p>
      <w:pPr>
        <w:pStyle w:val="FirstParagraph"/>
      </w:pPr>
      <w:r>
        <w:t xml:space="preserve">We’ve reviewed your standard contractual requirements in detail and are aligned on the vast majority of your terms. On a handful of provisions — liability and indemnification scope, audit cadence and notice, service-level remedies, ownership of custom work product, and subprocessor change management — we will bring forward alternative language in the redline that preserves your core protections (data security, service accountability, operational transparency) while keeping the terms bankable on both sides, consistent with how we’ve structured successful long-term agreements with similarly-regulated industrial customers. We look forward to working through these collaboratively with your legal team ahead of the award date.</w:t>
      </w:r>
    </w:p>
    <w:bookmarkEnd w:id="16"/>
    <w:bookmarkStart w:id="17" w:name="risks-and-how-we-mitigate-them"/>
    <w:p>
      <w:pPr>
        <w:pStyle w:val="Heading2"/>
      </w:pPr>
      <w:r>
        <w:t xml:space="preserve">Risks and How We Mitigate Them</w:t>
      </w:r>
    </w:p>
    <w:p>
      <w:pPr>
        <w:pStyle w:val="Compact"/>
        <w:numPr>
          <w:ilvl w:val="0"/>
          <w:numId w:val="1002"/>
        </w:numPr>
      </w:pPr>
      <w:r>
        <w:rPr>
          <w:b/>
          <w:bCs/>
        </w:rPr>
        <w:t xml:space="preserve">Ingest scale at multi-region residency:</w:t>
      </w:r>
      <w:r>
        <w:t xml:space="preserve"> </w:t>
      </w:r>
      <w:r>
        <w:t xml:space="preserve">we will run a joint technical validation of peak-throughput ingest across your EU/US topology before go-live, backed by a defined performance SLA in the implementation plan.</w:t>
      </w:r>
    </w:p>
    <w:p>
      <w:pPr>
        <w:pStyle w:val="Compact"/>
        <w:numPr>
          <w:ilvl w:val="0"/>
          <w:numId w:val="1002"/>
        </w:numPr>
      </w:pPr>
      <w:r>
        <w:rPr>
          <w:b/>
          <w:bCs/>
        </w:rPr>
        <w:t xml:space="preserve">Service-level expectations:</w:t>
      </w:r>
      <w:r>
        <w:t xml:space="preserve"> </w:t>
      </w:r>
      <w:r>
        <w:t xml:space="preserve">we will propose an SLA and remedy structure that gives you strong, enforceable guarantees while remaining operationally deliverable, and will discuss enhanced-availability options if a higher uptime commitment is a priority for your team.</w:t>
      </w:r>
    </w:p>
    <w:p>
      <w:pPr>
        <w:pStyle w:val="Compact"/>
        <w:numPr>
          <w:ilvl w:val="0"/>
          <w:numId w:val="1002"/>
        </w:numPr>
      </w:pPr>
      <w:r>
        <w:rPr>
          <w:b/>
          <w:bCs/>
        </w:rPr>
        <w:t xml:space="preserve">Implementation timeline:</w:t>
      </w:r>
      <w:r>
        <w:t xml:space="preserve"> </w:t>
      </w:r>
      <w:r>
        <w:t xml:space="preserve">based on comparable migrations from legacy Teradata environments, we plan for a phased cutover — first production workload within 8 weeks, full legacy migration within 16–24 weeks depending on source-system complexity — with milestones defined jointly with your technical team.</w:t>
      </w:r>
    </w:p>
    <w:p>
      <w:r>
        <w:pict>
          <v:rect style="width:0;height:1.5pt" o:hralign="center" o:hrstd="t" o:hr="t"/>
        </w:pict>
      </w:r>
    </w:p>
    <w:p>
      <w:pPr>
        <w:pStyle w:val="FirstParagraph"/>
      </w:pPr>
      <w:r>
        <w:rPr>
          <w:i/>
          <w:iCs/>
        </w:rPr>
        <w:t xml:space="preserve">This proposal is a summary submission. Full technical proposal, commercial proposal with 5-year TCO, implementation plan with milestones, and three customer references will accompany this document per your requested response format.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2026-07-02T00:38:15Z</dcterms:created>
  <dcterms:modified xsi:type="dcterms:W3CDTF">2026-07-02T00:38:15Z</dcterms:modified>
</cp:coreProperties>
</file>

<file path=docProps/custom.xml><?xml version="1.0" encoding="utf-8"?>
<Properties xmlns="http://schemas.openxmlformats.org/officeDocument/2006/custom-properties" xmlns:vt="http://schemas.openxmlformats.org/officeDocument/2006/docPropsVTypes"/>
</file>