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BTS-Synthetic — Enterprise Data Platform Proposal for Acme Corp</w:t>
      </w:r>
    </w:p>
    <w:p>
      <w:pPr>
        <w:pStyle w:val="Author"/>
      </w:pPr>
      <w:r>
        <w:t xml:space="preserve">Prepared for: Sarah Chen, VP Procurement / Marcus Webb, Chief Data Officer</w:t>
      </w:r>
    </w:p>
    <w:p>
      <w:pPr>
        <w:pStyle w:val="Date"/>
      </w:pPr>
      <w:r>
        <w:t xml:space="preserve">2026-05-23</w:t>
      </w:r>
    </w:p>
    <w:bookmarkStart w:id="9" w:name="executive-summary"/>
    <w:p>
      <w:pPr>
        <w:pStyle w:val="Heading1"/>
      </w:pPr>
      <w:r>
        <w:t xml:space="preserve">Executive Summary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 are a high-fit, lower-risk alternative to a single-vendor Azure lock-in strategy.</w:t>
      </w:r>
      <w:r>
        <w:t xml:space="preserve"> </w:t>
      </w:r>
      <w:r>
        <w:t xml:space="preserve">BTS-Synthetic’s lakehouse platform natively meets every stated requirement — real-time ingest at your 80,000 events/second peak, native Power BI DirectQuery integration for your 600 analysts, EU/US multi-region deployment with enforced EU data residency, and open formats (Parquet, Delta, Iceberg) that keep your data portable across clouds.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 propose a 30% discount off list, anchored on a 5-year fixed-price, no-escalator commercial structure</w:t>
      </w:r>
      <w:r>
        <w:t xml:space="preserve"> </w:t>
      </w:r>
      <w:r>
        <w:t xml:space="preserve">— validated against comparable industrial/IoT wins (Initech Sensors, Stark Industries) where we beat Microsoft’s</w:t>
      </w:r>
      <w:r>
        <w:t xml:space="preserve"> </w:t>
      </w:r>
      <w:r>
        <w:t xml:space="preserve">“free with E5”</w:t>
      </w:r>
      <w:r>
        <w:t xml:space="preserve"> </w:t>
      </w:r>
      <w:r>
        <w:t xml:space="preserve">bundling and out-TCO’d Snowflake and Databricks.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We’ve identified the handful of contract terms that need to move before signature</w:t>
      </w:r>
      <w:r>
        <w:t xml:space="preserve"> </w:t>
      </w:r>
      <w:r>
        <w:t xml:space="preserve">(uncapped liability, no-notice audits, 99.99% SLA with instant termination, full IP vesting, sole-discretion subprocessor consent) and propose fair, precedented counters on each — none of which should delay your June 30 award timeline.</w:t>
      </w:r>
    </w:p>
    <w:bookmarkEnd w:id="9"/>
    <w:bookmarkStart w:id="10" w:name="our-understanding-of-your-need"/>
    <w:p>
      <w:pPr>
        <w:pStyle w:val="Heading1"/>
      </w:pPr>
      <w:r>
        <w:t xml:space="preserve">Our Understanding of Your Need</w:t>
      </w:r>
    </w:p>
    <w:p>
      <w:pPr>
        <w:pStyle w:val="FirstParagraph"/>
      </w:pPr>
      <w:r>
        <w:t xml:space="preserve">Acme Corp is retiring a patchwork of on-premises Teradata warehouses and ad-hoc cloud analytics in favor of a single enterprise data platform that can serve five converging workloads: real-time ingest from ~40,000 field IoT devices, batch ETL from 30+ internal systems, BI/reporting for 600 analysts and executives, self-service data preparation for 150 data engineers, and — on the near horizon — ML pipelines for predictive maintenance. At 280 TB and growing 12 TB/month, with peak ingest of 80,000 events/second, this is a serious enterprise workload, not a pilot.</w:t>
      </w:r>
    </w:p>
    <w:p>
      <w:pPr>
        <w:pStyle w:val="BodyText"/>
      </w:pPr>
      <w:r>
        <w:t xml:space="preserve">Three constraints shape everything else: you are an Azure-first, Power-BI-first organization where native BI integration is non-negotiable; you operate globally with a hard EU data-residency requirement; and your five-year total cost of ownership, contract flexibility, and risk posture will be weighed as heavily as raw functional fit. You are also deliberately running a competitive process against Databricks, Snowflake, and Microsoft Fabric — so we’ve priced and positioned this proposal knowing exactly who else is in the room.</w:t>
      </w:r>
    </w:p>
    <w:bookmarkEnd w:id="10"/>
    <w:bookmarkStart w:id="11" w:name="why-bts-synthetic-is-the-right-fit"/>
    <w:p>
      <w:pPr>
        <w:pStyle w:val="Heading1"/>
      </w:pPr>
      <w:r>
        <w:t xml:space="preserve">Why BTS-Synthetic Is the Right Fit</w:t>
      </w:r>
    </w:p>
    <w:p>
      <w:pPr>
        <w:pStyle w:val="FirstParagraph"/>
      </w:pPr>
      <w:r>
        <w:rPr>
          <w:b/>
          <w:bCs/>
        </w:rPr>
        <w:t xml:space="preserve">Technical fit: High.</w:t>
      </w:r>
      <w:r>
        <w:t xml:space="preserve"> </w:t>
      </w:r>
      <w:r>
        <w:t xml:space="preserve">Every core requirement is met natively, not bolted 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 ingest (80K events/sec peak)</w:t>
            </w:r>
          </w:p>
        </w:tc>
        <w:tc>
          <w:tcPr/>
          <w:p>
            <w:pPr>
              <w:pStyle w:val="Compact"/>
            </w:pPr>
            <w:r>
              <w:t xml:space="preserve">Met — tested to 250K events/sec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ETL, 30+ sources</w:t>
            </w:r>
          </w:p>
        </w:tc>
        <w:tc>
          <w:tcPr/>
          <w:p>
            <w:pPr>
              <w:pStyle w:val="Compact"/>
            </w:pPr>
            <w:r>
              <w:t xml:space="preserve">Met — 80+ prebuilt connectors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Power BI, 600 users</w:t>
            </w:r>
          </w:p>
        </w:tc>
        <w:tc>
          <w:tcPr/>
          <w:p>
            <w:pPr>
              <w:pStyle w:val="Compact"/>
            </w:pPr>
            <w:r>
              <w:t xml:space="preserve">Met — dedicated DirectQuery adapter, our most mature BI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Self-service prep, 150 engineers</w:t>
            </w:r>
          </w:p>
        </w:tc>
        <w:tc>
          <w:tcPr/>
          <w:p>
            <w:pPr>
              <w:pStyle w:val="Compact"/>
            </w:pPr>
            <w:r>
              <w:t xml:space="preserve">Met — low-code prep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Lakehouse + open formats</w:t>
            </w:r>
          </w:p>
        </w:tc>
        <w:tc>
          <w:tcPr/>
          <w:p>
            <w:pPr>
              <w:pStyle w:val="Compact"/>
            </w:pPr>
            <w:r>
              <w:t xml:space="preserve">Met — native Parquet/Delta/Iceberg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Multi-region EU-primary/US-secondary + EU residency</w:t>
            </w:r>
          </w:p>
        </w:tc>
        <w:tc>
          <w:tcPr/>
          <w:p>
            <w:pPr>
              <w:pStyle w:val="Compact"/>
            </w:pPr>
            <w:r>
              <w:t xml:space="preserve">Met — per-table residency pinning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pipelines for predictive maintenance (planned)</w:t>
            </w:r>
          </w:p>
        </w:tc>
        <w:tc>
          <w:tcPr/>
          <w:p>
            <w:pPr>
              <w:pStyle w:val="Compact"/>
            </w:pPr>
            <w:r>
              <w:t xml:space="preserve">Met — model registry, feature store, autoscaled serving in place ahead of need</w:t>
            </w:r>
          </w:p>
        </w:tc>
      </w:tr>
    </w:tbl>
    <w:p>
      <w:pPr>
        <w:pStyle w:val="BodyText"/>
      </w:pPr>
      <w:r>
        <w:t xml:space="preserve">Two honest caveats: sub-100ms streaming latency is not our strength (we run 250ms–1s), and your 99.99% uptime ask sits above our 99.95% Enterprise standard — addressed in the commercial section below. Neither is a blocker for the workloads described in this RFP. Expect an implementation timeline of roughly 24 weeks given the scope of your Teradata migration and multi-region footprint.</w:t>
      </w:r>
    </w:p>
    <w:p>
      <w:pPr>
        <w:pStyle w:val="BodyText"/>
      </w:pPr>
      <w:r>
        <w:rPr>
          <w:b/>
          <w:bCs/>
        </w:rPr>
        <w:t xml:space="preserve">Why we win against this specific field:</w:t>
      </w:r>
      <w:r>
        <w:t xml:space="preserve"> </w:t>
      </w:r>
      <w:r>
        <w:t xml:space="preserve">Microsoft Fabric has obvious home-field advantage on Power BI, but your own RFP calls for open formats and multi-cloud portability — a direct rejection of Fabric’s Azure lock-in, and an area where they are structurally weak on real-time ingest (we beat them on exactly this basis at Initech Sensors, a near-identical industrial IoT profile). Snowflake will compete on multi-cloud messaging but cannot match our real-time ingest throughput or governance depth (we beat them on TCO at Globex Manufacturing). Databricks will compete hardest on price — expect discounts near 40% — but their Power BI story requires a bolt-on SQL connector, and their governance/audit tooling is thinner than ours. We do not intend to chase Databricks to the bottom on price; we intend to win on total cost of ownership and operational fit, as we have done consistently in this exact competitive set.</w:t>
      </w:r>
    </w:p>
    <w:bookmarkEnd w:id="11"/>
    <w:bookmarkStart w:id="12" w:name="commercial-proposal"/>
    <w:p>
      <w:pPr>
        <w:pStyle w:val="Heading1"/>
      </w:pPr>
      <w:r>
        <w:t xml:space="preserve">Commercial Proposal</w:t>
      </w:r>
    </w:p>
    <w:p>
      <w:pPr>
        <w:pStyle w:val="FirstParagraph"/>
      </w:pPr>
      <w:r>
        <w:t xml:space="preserve">We propose</w:t>
      </w:r>
      <w:r>
        <w:t xml:space="preserve"> </w:t>
      </w:r>
      <w:r>
        <w:rPr>
          <w:b/>
          <w:bCs/>
        </w:rPr>
        <w:t xml:space="preserve">30% off published list pricing</w:t>
      </w:r>
      <w:r>
        <w:t xml:space="preserve">, fixed for the full 3-year initial term plus 2-year renewal option, with no escalators — priced modestly above baseline in year one to absorb that guarantee rather than building in a contractual increase. This reflects Acme’s scale (est. $1.0–1.1M annual list) and mirrors our Stark Industries structure (comparable scale and competitive field, 28% discount, 5-year term, won on TCO rather than price). We are not matching the 35% floor requested: our Pied Piper experience shows that chasing discount depth against Databricks-style aggressive pricing destroys margin without winning the deal — the multi-year TCO story is what wins in this segment, and we will make that case in the technical proposal and references.</w:t>
      </w:r>
    </w:p>
    <w:p>
      <w:pPr>
        <w:pStyle w:val="BodyText"/>
      </w:pPr>
      <w:r>
        <w:t xml:space="preserve">On payment terms, we propose</w:t>
      </w:r>
      <w:r>
        <w:t xml:space="preserve"> </w:t>
      </w:r>
      <w:r>
        <w:rPr>
          <w:b/>
          <w:bCs/>
        </w:rPr>
        <w:t xml:space="preserve">Net 60</w:t>
      </w:r>
      <w:r>
        <w:t xml:space="preserve">, consistent with our Initech Sensors precedent (same industrial/IoT profile), rather than the requested Net 90. Annual-in-advance billing is accepted as requested.</w:t>
      </w:r>
    </w:p>
    <w:p>
      <w:pPr>
        <w:pStyle w:val="BodyText"/>
      </w:pPr>
      <w:r>
        <w:t xml:space="preserve">The RFP’s 99.99% uptime requirement exceeds our 99.95% Enterprise-tier standard. We propose 99.95% as the contracted SLA, with</w:t>
      </w:r>
      <w:r>
        <w:t xml:space="preserve"> </w:t>
      </w:r>
      <w:r>
        <w:rPr>
          <w:b/>
          <w:bCs/>
        </w:rPr>
        <w:t xml:space="preserve">99.99% available as a priced add-on</w:t>
      </w:r>
      <w:r>
        <w:t xml:space="preserve"> </w:t>
      </w:r>
      <w:r>
        <w:t xml:space="preserve">(bespoke multi-region active-active architecture) if Acme’s predictive-maintenance and real-time alerting use cases ultimately require it — this should be scoped and costed separately once ML pipelines move from planned to active.</w:t>
      </w:r>
    </w:p>
    <w:bookmarkEnd w:id="12"/>
    <w:bookmarkStart w:id="13" w:name="contract-approach"/>
    <w:p>
      <w:pPr>
        <w:pStyle w:val="Heading1"/>
      </w:pPr>
      <w:r>
        <w:t xml:space="preserve">Contract Approach</w:t>
      </w:r>
    </w:p>
    <w:p>
      <w:pPr>
        <w:pStyle w:val="FirstParagraph"/>
      </w:pPr>
      <w:r>
        <w:t xml:space="preserve">We support the great majority of your terms as drafted (3+2 year term, fixed 5-year pricing, annual-in-advance billing, no early termination penalties in principle). Five clauses need to move before signature, each with a precedented, fair counter: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Liability/indemnification (uncapped):</w:t>
      </w:r>
      <w:r>
        <w:t xml:space="preserve"> </w:t>
      </w:r>
      <w:r>
        <w:t xml:space="preserve">we propose a cap at 24 months’ fees, with carve-outs for gross negligence and IP infringement; indemnification covers direct breach-notification costs, not open-ended regulatory fines or reputational damages.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Audit rights (no-notice, 4x/year, vendor-funded):</w:t>
      </w:r>
      <w:r>
        <w:t xml:space="preserve"> </w:t>
      </w:r>
      <w:r>
        <w:t xml:space="preserve">we propose one audit per year with 30 days’ notice at our cost; additional audits available at Acme’s cost.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SLA remedy (instant termination + full refund on any miss):</w:t>
      </w:r>
      <w:r>
        <w:t xml:space="preserve"> </w:t>
      </w:r>
      <w:r>
        <w:t xml:space="preserve">we propose service credits (up to 30% of monthly fees) as the sole remedy for isolated SLA misses, preserving termination rights for sustained failure.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IP ownership (full vesting of custom work):</w:t>
      </w:r>
      <w:r>
        <w:t xml:space="preserve"> </w:t>
      </w:r>
      <w:r>
        <w:t xml:space="preserve">we propose a license-back model — Acme retains full rights to use all custom work and derivative outputs, and BTS-Synthetic retains underlying platform IP. This is the same structure Stark Industries accepted after initially requesting full assignment.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Subprocessors (sole-discretion consent):</w:t>
      </w:r>
      <w:r>
        <w:t xml:space="preserve"> </w:t>
      </w:r>
      <w:r>
        <w:t xml:space="preserve">we propose a public subprocessor list with 30 days’ advance notice of changes and a right to object, rather than a pre-approval veto.</w:t>
      </w:r>
    </w:p>
    <w:p>
      <w:pPr>
        <w:pStyle w:val="FirstParagraph"/>
      </w:pPr>
      <w:r>
        <w:t xml:space="preserve">We also propose narrowing the MFN clause to comparable customers of similar size and term (rather than an unbounded market-wide warranty), and adjusting payment terms to Net 60. None of these positions are unusual for an enterprise deal of this size, and each has direct precedent in our closed-won portfolio.</w:t>
      </w:r>
    </w:p>
    <w:bookmarkEnd w:id="13"/>
    <w:bookmarkStart w:id="14" w:name="risks-and-mitigation"/>
    <w:p>
      <w:pPr>
        <w:pStyle w:val="Heading1"/>
      </w:pPr>
      <w:r>
        <w:t xml:space="preserve">Risks and Mitigation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SLA gap (99.99% vs. our 99.95% standard):</w:t>
      </w:r>
      <w:r>
        <w:t xml:space="preserve"> </w:t>
      </w:r>
      <w:r>
        <w:t xml:space="preserve">mitigated by offering a costed 99.99% add-on now, so it’s on the table rather than a mid-negotiation surprise, and by tying it to the actual (currently planned, not active) ML/real-time alerting use case that would justify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Discount gap (we propose 30%, RFP asks 35%):</w:t>
      </w:r>
      <w:r>
        <w:t xml:space="preserve"> </w:t>
      </w:r>
      <w:r>
        <w:t xml:space="preserve">mitigated by leading commercial conversations with a rigorous 3-year and 5-year TCO comparison against Databricks and Snowflake, the same approach that won Globex and Stark against this identical competitive set.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Contract terms requiring negotiation (liability, audit, SLA remedy, IP, subprocessors):</w:t>
      </w:r>
      <w:r>
        <w:t xml:space="preserve"> </w:t>
      </w:r>
      <w:r>
        <w:t xml:space="preserve">mitigated by proposing fair, precedented counters up front in this response rather than surfacing them late — every counter here has closed successfully with a comparable enterprise customer.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Implementation timeline pressure:</w:t>
      </w:r>
      <w:r>
        <w:t xml:space="preserve"> </w:t>
      </w:r>
      <w:r>
        <w:t xml:space="preserve">a Teradata decommission plus multi-region, multi-source migration realistically runs ~24 weeks to full production; we will propose a phased milestone plan (ingest and BI first, full migration second) so early value lands well within your evaluation and award window.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BTS-Synthetic — Enterprise Data Platform Proposal for Acme Corp</dc:title>
  <dc:creator>Prepared for: Sarah Chen, VP Procurement / Marcus Webb, Chief Data Officer</dc:creator>
  <cp:keywords/>
  <dcterms:created xsi:type="dcterms:W3CDTF">2026-07-05T18:26:42Z</dcterms:created>
  <dcterms:modified xsi:type="dcterms:W3CDTF">2026-07-05T18:26:42Z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2026-05-23</vt:lpwstr>
  </property>
</Properties>
</file>