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5c70b23e65def3233a73ce0d1baa9d87d93f9d"/>
    <w:p>
      <w:pPr>
        <w:pStyle w:val="Heading1"/>
      </w:pPr>
      <w:r>
        <w:t xml:space="preserve">BTS-Synthetic — Proposal for Acme Corp Enterprise Data Platform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Sarah Chen, VP Procurement / Marcus Webb, Chief Data Officer, Acme Corp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BTS-Synthetic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2026-07-04</w:t>
      </w:r>
      <w:r>
        <w:t xml:space="preserve"> </w:t>
      </w:r>
      <w:r>
        <w:rPr>
          <w:b/>
          <w:bCs/>
        </w:rPr>
        <w:t xml:space="preserve">In response to:</w:t>
      </w:r>
      <w:r>
        <w:t xml:space="preserve"> </w:t>
      </w:r>
      <w:r>
        <w:t xml:space="preserve">RFP issued 2026-05-12, response due 2026-05-26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technical fit, low risk:</w:t>
      </w:r>
      <w:r>
        <w:t xml:space="preserve"> </w:t>
      </w:r>
      <w:r>
        <w:t xml:space="preserve">BTS-Synthetic’s lakehouse platform natively meets Acme’s core requirements — 80,000 events/second peak ingest (we’re proven to 250,000 events/sec), native Power BI DirectQuery integration for your 600 analysts, and per-table EU data residency across a multi-region EU/US topology.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 in your exact vertical:</w:t>
      </w:r>
      <w:r>
        <w:t xml:space="preserve"> </w:t>
      </w:r>
      <w:r>
        <w:t xml:space="preserve">We won a near-identical industrial IoT deal (Initech Sensors) against Microsoft Fabric on real-time ingest performance and governance maturity — the same battleground Acme is evaluating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terms grounded in real deal data, not list-price theatre:</w:t>
      </w:r>
      <w:r>
        <w:t xml:space="preserve"> </w:t>
      </w:r>
      <w:r>
        <w:t xml:space="preserve">We propose an 18-20% discount off list, anchored to a 3-year TCO model at your actual workload profile — the same approach that won Globex Manufacturing away from Snowflake and Databricks.</w:t>
      </w:r>
    </w:p>
    <w:bookmarkEnd w:id="9"/>
    <w:bookmarkStart w:id="10" w:name="our-understanding-of-your-need"/>
    <w:p>
      <w:pPr>
        <w:pStyle w:val="Heading2"/>
      </w:pPr>
      <w:r>
        <w:t xml:space="preserve">Our Understanding of Your Need</w:t>
      </w:r>
    </w:p>
    <w:p>
      <w:pPr>
        <w:pStyle w:val="FirstParagraph"/>
      </w:pPr>
      <w:r>
        <w:t xml:space="preserve">Acme is replacing a patchwork of on-premises Teradata warehouses and ad-hoc cloud analytics with a single enterprise data platform, ahead of full Teradata decommission by 2027. The platform must handle real-time ingest from 40,000 IoT devices (peak 80,000 events/sec), batch ETL from 30+ sources, BI/reporting for 600 users, self-service prep for 150 data engineers, and eventually ML pipelines for predictive maintenance — all at ~280TB and growing 12TB/month. As an Azure-native, Power BI-first organization with EU and US operations, you need native Power BI integration (non-negotiable), EU data residency, open lakehouse formats (Parquet/Delta/Iceberg), and a platform that will still be portable and cost-predictable five years from now. You are also evaluating Databricks, Snowflake, and Microsoft Fabric, and are pricing this as a 5-year, fixed-cost decision.</w:t>
      </w:r>
    </w:p>
    <w:bookmarkEnd w:id="10"/>
    <w:bookmarkStart w:id="11" w:name="why-were-the-right-fit"/>
    <w:p>
      <w:pPr>
        <w:pStyle w:val="Heading2"/>
      </w:pPr>
      <w:r>
        <w:t xml:space="preserve">Why We’re the Right Fit</w:t>
      </w:r>
    </w:p>
    <w:p>
      <w:pPr>
        <w:pStyle w:val="FirstParagraph"/>
      </w:pPr>
      <w:r>
        <w:rPr>
          <w:b/>
          <w:bCs/>
        </w:rPr>
        <w:t xml:space="preserve">Technical fit: HIGH.</w:t>
      </w:r>
      <w:r>
        <w:t xml:space="preserve"> </w:t>
      </w:r>
      <w:r>
        <w:t xml:space="preserve">Against the full requirements list, our gaps are narrow and non-blocking: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Ingest at scale:</w:t>
      </w:r>
      <w:r>
        <w:t xml:space="preserve"> </w:t>
      </w:r>
      <w:r>
        <w:t xml:space="preserve">Native Kafka/Kinesis streaming tested to 250K events/sec single-region — 3x headroom over your 80K events/sec peak. 40,000 devices and 30+ batch sources are fully covered by our 80+ connector library.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BI:</w:t>
      </w:r>
      <w:r>
        <w:t xml:space="preserve"> </w:t>
      </w:r>
      <w:r>
        <w:t xml:space="preserve">Our most mature BI integration, with a dedicated DirectQuery adapter — built for exactly the scale of your 600-user analyst and executive 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Multi-region EU/US + residency:</w:t>
      </w:r>
      <w:r>
        <w:t xml:space="preserve"> </w:t>
      </w:r>
      <w:r>
        <w:t xml:space="preserve">Native multi-region deployment on Azure with per-table residency pinning keeps EU data in EU regions while US East serves as your secondary — matching your requested topology exactly.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formats:</w:t>
      </w:r>
      <w:r>
        <w:t xml:space="preserve"> </w:t>
      </w:r>
      <w:r>
        <w:t xml:space="preserve">Full native support for Parquet, Delta, and Iceberg, so you retain portability and are never locked into a single vendor’s proprietary 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 readiness:</w:t>
      </w:r>
      <w:r>
        <w:t xml:space="preserve"> </w:t>
      </w:r>
      <w:r>
        <w:t xml:space="preserve">Model registry, offline/online feature store, and native model serving are in place and ready for your predictive maintenance roadmap when it activates.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honest flag:</w:t>
      </w:r>
      <w:r>
        <w:t xml:space="preserve"> </w:t>
      </w:r>
      <w:r>
        <w:t xml:space="preserve">Your 99.99% uptime ask (RFP §4.3) sits above our standard Enterprise SLA of 99.95%. We can deliver 99.99% via a multi-region active-active architecture — priced transparently as a add-on rather than silently absorbed (see Commercial Proposal).</w:t>
      </w:r>
    </w:p>
    <w:p>
      <w:pPr>
        <w:pStyle w:val="FirstParagraph"/>
      </w:pPr>
      <w:r>
        <w:rPr>
          <w:b/>
          <w:bCs/>
        </w:rPr>
        <w:t xml:space="preserve">Why we win against the field:</w:t>
      </w:r>
      <w:r>
        <w:t xml:space="preserve"> </w:t>
      </w:r>
      <w:r>
        <w:t xml:space="preserve">Microsoft Fabric will lead with E5 bundling and native Power BI — but in our closest analog (Initech Sensors, same industrial IoT profile), Fabric could not match the real-time ingest SLA your 80,000 events/sec workload demands. Databricks and Snowflake will contest openness and lakehouse credentials; we beat both of them at Globex Manufacturing not on list price but on a 3-year TCO comparison run against the customer’s actual workload — the same analysis we’re prepared to run for Acme. We win this deal on proven real-time performance plus governance maturity, not a race to the bottom on discount.</w:t>
      </w:r>
    </w:p>
    <w:bookmarkEnd w:id="11"/>
    <w:bookmarkStart w:id="12" w:name="commercial-proposal"/>
    <w:p>
      <w:pPr>
        <w:pStyle w:val="Heading2"/>
      </w:pPr>
      <w:r>
        <w:t xml:space="preserve">Commercial Proposal</w:t>
      </w:r>
    </w:p>
    <w:p>
      <w:pPr>
        <w:pStyle w:val="FirstParagraph"/>
      </w:pPr>
      <w:r>
        <w:t xml:space="preserve">We propose commercial terms informed directly by comparable enterprise wins of similar scale and vertical (Globex Manufacturing, Initech Sensors, Stark Industries):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Discount:</w:t>
      </w:r>
      <w:r>
        <w:t xml:space="preserve"> </w:t>
      </w:r>
      <w:r>
        <w:t xml:space="preserve">18-20% off published list pricing for the 3-year initial term (floor 17%). This is a meaningfully deeper discount than our Initech Sensors close (15%, smaller deal) in recognition of Acme’s scale, and reflects real economics rather than the unsustainable 35%+ levels that have cost competitors margin and, in at least one case we’ve observed in the market, the entire deal.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&amp; pricing structure:</w:t>
      </w:r>
      <w:r>
        <w:t xml:space="preserve"> </w:t>
      </w:r>
      <w:r>
        <w:t xml:space="preserve">3-year initial term with 2-year renewal option. We will fix Year 1-3 pricing at signature; for the renewal years we propose a capped escalator (CPI or 3%, whichever is lower) rather than a fully open-ended 5-year zero-escalator commitment, which is not commercially sustainable given infrastructure cost trends.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terms:</w:t>
      </w:r>
      <w:r>
        <w:t xml:space="preserve"> </w:t>
      </w:r>
      <w:r>
        <w:t xml:space="preserve">Annual in advance, Net 45 — a concession from our Net 30 standard, in exchange for firming up the discount band.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99.95% uptime included in the base offer (service credits, up to 30% of monthly fees, as sole remedy for misses). 99.99% uptime available as a priced add-on (multi-region active-active architecture, indicative $80K-120K/year) for workloads that require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MFN clause:</w:t>
      </w:r>
      <w:r>
        <w:t xml:space="preserve"> </w:t>
      </w:r>
      <w:r>
        <w:t xml:space="preserve">We will warrant most-favoured pricing scoped to comparable industrial IoT customers of similar size and term — not an unscoped, unlimited warranty across our full customer 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We accept termination for convenience; we propose 60-90 days’ notice (vs. the requested 30) given the operational lead time required to wind down a platform of this scale, with no early termination fee.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Indicative deal size:</w:t>
      </w:r>
      <w:r>
        <w:t xml:space="preserve"> </w:t>
      </w:r>
      <w:r>
        <w:t xml:space="preserve">~$650K-800K/year at list, ~$530K-650K/year at the proposed discount band — approximately $1.6M-2M across the initial 3-year term.</w:t>
      </w:r>
    </w:p>
    <w:bookmarkEnd w:id="12"/>
    <w:bookmarkStart w:id="13" w:name="contract-approach"/>
    <w:p>
      <w:pPr>
        <w:pStyle w:val="Heading2"/>
      </w:pPr>
      <w:r>
        <w:t xml:space="preserve">Contract Approach</w:t>
      </w:r>
    </w:p>
    <w:p>
      <w:pPr>
        <w:pStyle w:val="FirstParagraph"/>
      </w:pPr>
      <w:r>
        <w:t xml:space="preserve">Several clauses in the RFP’s draft terms are outside our standard risk posture and require negotiation before signature. We flag severity and our counter-position on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Our Counter-Position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Uncapped breach liability (§4.1)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Cap liability at 24 months’ fees, with carve-outs for gross negligence and IP infringement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Unannounced audits, 4x/year, vendor-funded (§4.2)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One audit/year, 30 days’ notice, confidentiality terms; additional audits at Acme’s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 SLA with immediate termination on any miss (§4.3)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99.95% standard SLA with service credits as sole remedy; 99.99% available as a paid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IP assignment of all work product (§4.4)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BTS retains underlying platform IP; Acme receives a perpetual licence to derivative/custom work — the same structure Stark Industries (a comparable enterprise account) accepted in lieu of full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Subprocessor consent at Acme’s sole discretion (§4.5)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Published subprocessor list with 30 days’ advance notice of changes; Acme may object, with substitution or termination rights for the affected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Termination for convenience, 30 days, no fee (§3.5)</w:t>
            </w:r>
          </w:p>
        </w:tc>
        <w:tc>
          <w:tcPr/>
          <w:p>
            <w:pPr>
              <w:pStyle w:val="Compact"/>
            </w:pP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t xml:space="preserve">Extend notice period to 60-90 days; no early termination fee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MFN warranty (§3.4)</w:t>
            </w:r>
          </w:p>
        </w:tc>
        <w:tc>
          <w:tcPr/>
          <w:p>
            <w:pPr>
              <w:pStyle w:val="Compact"/>
            </w:pP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t xml:space="preserve">Scope to comparable industrial IoT accounts of similar size/term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90 payment (§3.2)</w:t>
            </w:r>
          </w:p>
        </w:tc>
        <w:tc>
          <w:tcPr/>
          <w:p>
            <w:pPr>
              <w:pStyle w:val="Compact"/>
            </w:pPr>
            <w:r>
              <w:t xml:space="preserve">Negotiable</w:t>
            </w:r>
          </w:p>
        </w:tc>
        <w:tc>
          <w:tcPr/>
          <w:p>
            <w:pPr>
              <w:pStyle w:val="Compact"/>
            </w:pPr>
            <w:r>
              <w:t xml:space="preserve">Counter at Net 45</w:t>
            </w:r>
          </w:p>
        </w:tc>
      </w:tr>
    </w:tbl>
    <w:p>
      <w:pPr>
        <w:pStyle w:val="BodyText"/>
      </w:pPr>
      <w:r>
        <w:t xml:space="preserve">None of these positions are unprecedented: we have resolved the IP question on these exact terms with Stark Industries, a comparable enterprise account, and resolved discount/payment tension with Initech Sensors, an almost identical industrial IoT profile. We read this RFP’s draft terms as an aggressive opening position typical of enterprise procurement, not a walk-away signal.</w:t>
      </w:r>
    </w:p>
    <w:bookmarkEnd w:id="13"/>
    <w:bookmarkStart w:id="14" w:name="risks-and-mitigations"/>
    <w:p>
      <w:pPr>
        <w:pStyle w:val="Heading2"/>
      </w:pPr>
      <w:r>
        <w:t xml:space="preserve">Risks and Mitigations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SLA/termination stacking (§4.3):</w:t>
      </w:r>
      <w:r>
        <w:t xml:space="preserve"> </w:t>
      </w:r>
      <w:r>
        <w:t xml:space="preserve">The combination of a 99.99% uptime demand with immediate-termination-on-any-miss is the single largest deal risk.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offer 99.95% standard with credits as sole remedy, and price 99.99% transparently as an add-on rather than accepting the compounded penalty risk into the base contract.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Five-year fixed pricing with no escalators:</w:t>
      </w:r>
      <w:r>
        <w:t xml:space="preserve"> </w:t>
      </w:r>
      <w:r>
        <w:t xml:space="preserve">Exposes us to infrastructure cost inflation over the renewal period.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fix pricing for the initial 3-year term; cap (not eliminate) escalators for the 2-year renewal.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Unscoped MFN warranty:</w:t>
      </w:r>
      <w:r>
        <w:t xml:space="preserve"> </w:t>
      </w:r>
      <w:r>
        <w:t xml:space="preserve">Could constrain our pricing flexibility across our entire book for years.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scope the warranty to comparable industrial IoT accounts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Price-anchoring risk:</w:t>
      </w:r>
      <w:r>
        <w:t xml:space="preserve"> </w:t>
      </w:r>
      <w:r>
        <w:t xml:space="preserve">The RFP’s 35% discount floor mirrors a pattern we’ve seen competitors chase to their own detriment in commodity-perceived deals.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lead commercial conversations with 3-year TCO analysis at Acme’s actual workload (per the Globex Manufacturing playbook), not a discount-percentage negotiation.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Competitive displacement by Microsoft Fabric on price/bundling:</w:t>
      </w:r>
      <w:r>
        <w:t xml:space="preserve"> </w:t>
      </w:r>
      <w:r>
        <w:t xml:space="preserve">Fabric may undercut via E5 bundling.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keep the conversation anchored on proven real-time SLA performance (Initech Sensors precedent), where Fabric has a demonstrated gap.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Uncapped liability and unrestricted audit rights:</w:t>
      </w:r>
      <w:r>
        <w:t xml:space="preserve"> </w:t>
      </w:r>
      <w:r>
        <w:t xml:space="preserve">Both create open-ended operational and financial exposure.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negotiated caps and scoped audit rights as detailed in the Contract Approach section above, prior to signature.</w:t>
      </w:r>
    </w:p>
    <w:p>
      <w:pPr>
        <w:pStyle w:val="FirstParagraph"/>
      </w:pPr>
      <w:r>
        <w:t xml:space="preserve">We are ready to move quickly — our standard implementation timeline for a customer of Acme’s scale and complexity (multi-region, multi-source, legacy migration) is 24 weeks to full production, with first production workload achievable in 8 weeks. We look forward to discussing this proposal with Sarah Chen and Marcus Webb’s team.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2026-07-04T17:57:49Z</dcterms:created>
  <dcterms:modified xsi:type="dcterms:W3CDTF">2026-07-04T17:57:49Z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