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ts-synthetic-enterprise-data-platform"/>
    <w:p>
      <w:pPr>
        <w:pStyle w:val="Heading1"/>
      </w:pPr>
      <w:r>
        <w:t xml:space="preserve">BTS-Synthetic Enterprise Data Platform</w:t>
      </w:r>
    </w:p>
    <w:bookmarkStart w:id="9" w:name="proposal-for-acme-corp"/>
    <w:p>
      <w:pPr>
        <w:pStyle w:val="Heading2"/>
      </w:pPr>
      <w:r>
        <w:t xml:space="preserve">Proposal for Acme Corp</w:t>
      </w:r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Sarah Chen, VP Procurement / Marcus Webb, Chief Data Officer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BTS-Synthetic Deal Desk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2026-05-24</w:t>
      </w:r>
      <w:r>
        <w:t xml:space="preserve"> </w:t>
      </w:r>
      <w:r>
        <w:rPr>
          <w:b/>
          <w:bCs/>
        </w:rPr>
        <w:t xml:space="preserve">In response to:</w:t>
      </w:r>
      <w:r>
        <w:t xml:space="preserve"> </w:t>
      </w:r>
      <w:r>
        <w:t xml:space="preserve">RFP issued 2026-05-12, response due 2026-05-26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Acme Corp is replacing a patchwork of on-premises Teradata warehouses and ad-hoc</w:t>
      </w:r>
      <w:r>
        <w:t xml:space="preserve"> </w:t>
      </w:r>
      <w:r>
        <w:t xml:space="preserve">cloud analytics with a single enterprise data platform that can serve 40,000</w:t>
      </w:r>
      <w:r>
        <w:t xml:space="preserve"> </w:t>
      </w:r>
      <w:r>
        <w:t xml:space="preserve">field IoT devices, 30+ batch sources, 600 BI users, and 150 data engineers —</w:t>
      </w:r>
      <w:r>
        <w:t xml:space="preserve"> </w:t>
      </w:r>
      <w:r>
        <w:t xml:space="preserve">today on Azure, with predictable growth toward machine-learning-driven</w:t>
      </w:r>
      <w:r>
        <w:t xml:space="preserve"> </w:t>
      </w:r>
      <w:r>
        <w:t xml:space="preserve">predictive maintenance.</w:t>
      </w:r>
    </w:p>
    <w:p>
      <w:pPr>
        <w:pStyle w:val="BodyText"/>
      </w:pPr>
      <w:r>
        <w:t xml:space="preserve">BTS-Synthetic proposes our</w:t>
      </w:r>
      <w:r>
        <w:t xml:space="preserve"> </w:t>
      </w:r>
      <w:r>
        <w:rPr>
          <w:b/>
          <w:bCs/>
        </w:rPr>
        <w:t xml:space="preserve">Enterprise tier Lakehouse platform</w:t>
      </w:r>
      <w:r>
        <w:t xml:space="preserve"> </w:t>
      </w:r>
      <w:r>
        <w:t xml:space="preserve">as the</w:t>
      </w:r>
      <w:r>
        <w:t xml:space="preserve"> </w:t>
      </w:r>
      <w:r>
        <w:t xml:space="preserve">platform of record for this program. We are an especially strong fit for</w:t>
      </w:r>
      <w:r>
        <w:t xml:space="preserve"> </w:t>
      </w:r>
      <w:r>
        <w:t xml:space="preserve">Acme’s profile for three reasons: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Power BI is our most mature BI integration</w:t>
      </w:r>
      <w:r>
        <w:t xml:space="preserve"> </w:t>
      </w:r>
      <w:r>
        <w:t xml:space="preserve">— we ship a dedicated</w:t>
      </w:r>
      <w:r>
        <w:t xml:space="preserve"> </w:t>
      </w:r>
      <w:r>
        <w:t xml:space="preserve">DirectQuery adapter, directly satisfying your non-negotiable requirement</w:t>
      </w:r>
      <w:r>
        <w:t xml:space="preserve"> </w:t>
      </w:r>
      <w:r>
        <w:t xml:space="preserve">for 600 analysts and executives.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 have already run this exact profile.</w:t>
      </w:r>
      <w:r>
        <w:t xml:space="preserve"> </w:t>
      </w:r>
      <w:r>
        <w:t xml:space="preserve">Initech Sensors — an</w:t>
      </w:r>
      <w:r>
        <w:t xml:space="preserve"> </w:t>
      </w:r>
      <w:r>
        <w:t xml:space="preserve">industrial IoT manufacturer of comparable scale — is a live BTS-Synthetic</w:t>
      </w:r>
      <w:r>
        <w:t xml:space="preserve"> </w:t>
      </w:r>
      <w:r>
        <w:t xml:space="preserve">customer today, selected over Microsoft Fabric specifically for real-time</w:t>
      </w:r>
      <w:r>
        <w:t xml:space="preserve"> </w:t>
      </w:r>
      <w:r>
        <w:t xml:space="preserve">ingest performance and governance maturity.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Open, portable, and residency-aware by design.</w:t>
      </w:r>
      <w:r>
        <w:t xml:space="preserve"> </w:t>
      </w:r>
      <w:r>
        <w:t xml:space="preserve">Native Delta/Iceberg/</w:t>
      </w:r>
      <w:r>
        <w:t xml:space="preserve"> </w:t>
      </w:r>
      <w:r>
        <w:t xml:space="preserve">Parquet support and per-table EU data residency enforcement directly meet</w:t>
      </w:r>
      <w:r>
        <w:t xml:space="preserve"> </w:t>
      </w:r>
      <w:r>
        <w:t xml:space="preserve">your lakehouse and EU-data-stays-in-EU requirements without custom</w:t>
      </w:r>
      <w:r>
        <w:t xml:space="preserve"> </w:t>
      </w:r>
      <w:r>
        <w:t xml:space="preserve">engineering.</w:t>
      </w:r>
    </w:p>
    <w:p>
      <w:pPr>
        <w:pStyle w:val="FirstParagraph"/>
      </w:pPr>
      <w:r>
        <w:t xml:space="preserve">We are also transparent about the one area where our fit is</w:t>
      </w:r>
      <w:r>
        <w:t xml:space="preserve"> </w:t>
      </w:r>
      <w:r>
        <w:t xml:space="preserve">“strong with an</w:t>
      </w:r>
      <w:r>
        <w:t xml:space="preserve"> </w:t>
      </w:r>
      <w:r>
        <w:t xml:space="preserve">add-on”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“native”</w:t>
      </w:r>
      <w:r>
        <w:t xml:space="preserve">: our standard Enterprise SLA is 99.95% monthly</w:t>
      </w:r>
      <w:r>
        <w:t xml:space="preserve"> </w:t>
      </w:r>
      <w:r>
        <w:t xml:space="preserve">uptime. We can commit to your requested 99.99% as a paid, architected add-on</w:t>
      </w:r>
      <w:r>
        <w:t xml:space="preserve"> </w:t>
      </w:r>
      <w:r>
        <w:t xml:space="preserve">(multi-region active-active) — details in Section 4.</w:t>
      </w:r>
    </w:p>
    <w:p>
      <w:pPr>
        <w:pStyle w:val="BodyText"/>
      </w:pPr>
      <w:r>
        <w:t xml:space="preserve">On commercial terms, we want to be direct with you now rather than at</w:t>
      </w:r>
      <w:r>
        <w:t xml:space="preserve"> </w:t>
      </w:r>
      <w:r>
        <w:t xml:space="preserve">contract redline: the RFP’s ≥35% discount, Net 90 payment, and zero-escalator</w:t>
      </w:r>
      <w:r>
        <w:t xml:space="preserve"> </w:t>
      </w:r>
      <w:r>
        <w:t xml:space="preserve">5-year fixed pricing sit outside our standard and strategic discount bands.</w:t>
      </w:r>
      <w:r>
        <w:t xml:space="preserve"> </w:t>
      </w:r>
      <w:r>
        <w:t xml:space="preserve">Section 4 sets out where we can move, how far, and why — anchored in</w:t>
      </w:r>
      <w:r>
        <w:t xml:space="preserve"> </w:t>
      </w:r>
      <w:r>
        <w:t xml:space="preserve">comparable industrial/IoT deals we’ve closed at your scale.</w:t>
      </w:r>
    </w:p>
    <w:p>
      <w:r>
        <w:pict>
          <v:rect style="width:0;height:1.5pt" o:hralign="center" o:hrstd="t" o:hr="t"/>
        </w:pict>
      </w:r>
    </w:p>
    <w:bookmarkEnd w:id="10"/>
    <w:bookmarkStart w:id="14" w:name="technical-proposal"/>
    <w:p>
      <w:pPr>
        <w:pStyle w:val="Heading2"/>
      </w:pPr>
      <w:r>
        <w:t xml:space="preserve">2. Technical Proposal</w:t>
      </w:r>
    </w:p>
    <w:bookmarkStart w:id="11" w:name="requirements-fit-summary"/>
    <w:p>
      <w:pPr>
        <w:pStyle w:val="Heading3"/>
      </w:pPr>
      <w:r>
        <w:t xml:space="preserve">2.1 Requirements fit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BTS-Synthetic capability</w:t>
            </w:r>
          </w:p>
        </w:tc>
        <w:tc>
          <w:tcPr/>
          <w:p>
            <w:pPr>
              <w:pStyle w:val="Compact"/>
            </w:pPr>
            <w:r>
              <w:t xml:space="preserve">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ingest, ~40,000 IoT devices, peak 80,000 events/sec</w:t>
            </w:r>
          </w:p>
        </w:tc>
        <w:tc>
          <w:tcPr/>
          <w:p>
            <w:pPr>
              <w:pStyle w:val="Compact"/>
            </w:pPr>
            <w:r>
              <w:t xml:space="preserve">Native Kafka/Kinesis streaming consumers, tested to 250,000 events/sec single-region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ETL from 30+ internal sources</w:t>
            </w:r>
          </w:p>
        </w:tc>
        <w:tc>
          <w:tcPr/>
          <w:p>
            <w:pPr>
              <w:pStyle w:val="Compact"/>
            </w:pPr>
            <w:r>
              <w:t xml:space="preserve">80+ out-of-the-box connectors (Salesforce, SAP, NetSuite, common databases) + Debezium-compatible CDC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BI/reporting for ~600 analysts and executives</w:t>
            </w:r>
          </w:p>
        </w:tc>
        <w:tc>
          <w:tcPr/>
          <w:p>
            <w:pPr>
              <w:pStyle w:val="Compact"/>
            </w:pPr>
            <w:r>
              <w:t xml:space="preserve">Certified Power BI integration with dedicated DirectQuery adapter (our most mature BI integration)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 — meets non-negotiable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Self-service data prep for ~150 data engineers</w:t>
            </w:r>
          </w:p>
        </w:tc>
        <w:tc>
          <w:tcPr/>
          <w:p>
            <w:pPr>
              <w:pStyle w:val="Compact"/>
            </w:pPr>
            <w:r>
              <w:t xml:space="preserve">Low-code data prep UI for analyst/engineer personas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pipelines for predictive maintenance (planned)</w:t>
            </w:r>
          </w:p>
        </w:tc>
        <w:tc>
          <w:tcPr/>
          <w:p>
            <w:pPr>
              <w:pStyle w:val="Compact"/>
            </w:pPr>
            <w:r>
              <w:t xml:space="preserve">Model registry with versioning, offline/online feature store, native autoscaling model serving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Strong, future-ready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~280 TB current volume, ~12 TB/month growth</w:t>
            </w:r>
          </w:p>
        </w:tc>
        <w:tc>
          <w:tcPr/>
          <w:p>
            <w:pPr>
              <w:pStyle w:val="Compact"/>
            </w:pPr>
            <w:r>
              <w:t xml:space="preserve">Decoupled compute/storage lakehouse; sub-second SQL on warmed caches up to 10TB, scales horizontally beyond that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Multi-region (primary EU, secondary US East)</w:t>
            </w:r>
          </w:p>
        </w:tc>
        <w:tc>
          <w:tcPr/>
          <w:p>
            <w:pPr>
              <w:pStyle w:val="Compact"/>
            </w:pPr>
            <w:r>
              <w:t xml:space="preserve">Multi-cloud, multi-region within cloud; deployable on Azure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 data residency</w:t>
            </w:r>
          </w:p>
        </w:tc>
        <w:tc>
          <w:tcPr/>
          <w:p>
            <w:pPr>
              <w:pStyle w:val="Compact"/>
            </w:pPr>
            <w:r>
              <w:t xml:space="preserve">Per-table residency enforcement; EU tables pinned to EU regions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 — meets non-negotiable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Lakehouse architecture, open formats (Parquet, Delta, Iceberg)</w:t>
            </w:r>
          </w:p>
        </w:tc>
        <w:tc>
          <w:tcPr/>
          <w:p>
            <w:pPr>
              <w:pStyle w:val="Compact"/>
            </w:pPr>
            <w:r>
              <w:t xml:space="preserve">Native support for all three, no proprietary lock-in format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99.99% monthly uptime</w:t>
            </w:r>
          </w:p>
        </w:tc>
        <w:tc>
          <w:tcPr/>
          <w:p>
            <w:pPr>
              <w:pStyle w:val="Compact"/>
            </w:pPr>
            <w:r>
              <w:t xml:space="preserve">99.95% standard on Enterprise tier; 99.99% available as a bespoke multi-region active-active add-on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Add-on required — see Section 4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Overall technical fit: HIGH</w:t>
      </w:r>
      <w:r>
        <w:t xml:space="preserve">, with one clearly-scoped add-on (SLA tier) and</w:t>
      </w:r>
      <w:r>
        <w:t xml:space="preserve"> </w:t>
      </w:r>
      <w:r>
        <w:t xml:space="preserve">no functional gaps against your stated workloads.</w:t>
      </w:r>
    </w:p>
    <w:bookmarkEnd w:id="11"/>
    <w:bookmarkStart w:id="12" w:name="architecture-approach-for-acme"/>
    <w:p>
      <w:pPr>
        <w:pStyle w:val="Heading3"/>
      </w:pPr>
      <w:r>
        <w:t xml:space="preserve">2.2 Architecture approach for Acme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 region: EU</w:t>
      </w:r>
      <w:r>
        <w:t xml:space="preserve"> </w:t>
      </w:r>
      <w:r>
        <w:t xml:space="preserve">(hosting EU manufacturing/customer data under</w:t>
      </w:r>
      <w:r>
        <w:t xml:space="preserve"> </w:t>
      </w:r>
      <w:r>
        <w:t xml:space="preserve">residency pinning).</w:t>
      </w:r>
      <w:r>
        <w:t xml:space="preserve"> </w:t>
      </w:r>
      <w:r>
        <w:rPr>
          <w:b/>
          <w:bCs/>
        </w:rPr>
        <w:t xml:space="preserve">Secondary region: US East</w:t>
      </w:r>
      <w:r>
        <w:t xml:space="preserve">, active for US-sourced</w:t>
      </w:r>
      <w:r>
        <w:t xml:space="preserve"> </w:t>
      </w:r>
      <w:r>
        <w:t xml:space="preserve">workloads and DR.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Ingest layer:</w:t>
      </w:r>
      <w:r>
        <w:t xml:space="preserve"> </w:t>
      </w:r>
      <w:r>
        <w:t xml:space="preserve">streaming consumers sized for your 80,000 events/sec peak</w:t>
      </w:r>
      <w:r>
        <w:t xml:space="preserve"> </w:t>
      </w:r>
      <w:r>
        <w:t xml:space="preserve">(well within our validated 250,000 events/sec ceiling), plus scheduled</w:t>
      </w:r>
      <w:r>
        <w:t xml:space="preserve"> </w:t>
      </w:r>
      <w:r>
        <w:t xml:space="preserve">batch pipelines for your 30+ internal systems and the Teradata sunset.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row/column-level access control, full read/write audit</w:t>
      </w:r>
      <w:r>
        <w:t xml:space="preserve"> </w:t>
      </w:r>
      <w:r>
        <w:t xml:space="preserve">logging exportable to your SIEM, and built-in PII detection — relevant</w:t>
      </w:r>
      <w:r>
        <w:t xml:space="preserve"> </w:t>
      </w:r>
      <w:r>
        <w:t xml:space="preserve">given your global footprint across 18 countries.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ML readiness:</w:t>
      </w:r>
      <w:r>
        <w:t xml:space="preserve"> </w:t>
      </w:r>
      <w:r>
        <w:t xml:space="preserve">feature store and model registry provisioned in Phase 2,</w:t>
      </w:r>
      <w:r>
        <w:t xml:space="preserve"> </w:t>
      </w:r>
      <w:r>
        <w:t xml:space="preserve">ahead of your predictive-maintenance program, so no re-platforming is</w:t>
      </w:r>
      <w:r>
        <w:t xml:space="preserve"> </w:t>
      </w:r>
      <w:r>
        <w:t xml:space="preserve">needed when that workload goes live.</w:t>
      </w:r>
    </w:p>
    <w:bookmarkEnd w:id="12"/>
    <w:bookmarkStart w:id="13" w:name="competitive-context"/>
    <w:p>
      <w:pPr>
        <w:pStyle w:val="Heading3"/>
      </w:pPr>
      <w:r>
        <w:t xml:space="preserve">2.3 Competitive context</w:t>
      </w:r>
    </w:p>
    <w:p>
      <w:pPr>
        <w:pStyle w:val="FirstParagraph"/>
      </w:pPr>
      <w:r>
        <w:t xml:space="preserve">We understand Acme is also evaluating Databricks, Snowflake, and Microsoft</w:t>
      </w:r>
      <w:r>
        <w:t xml:space="preserve"> </w:t>
      </w:r>
      <w:r>
        <w:t xml:space="preserve">Fabric. Briefly, on why we believe BTS-Synthetic is the stronger fit for your</w:t>
      </w:r>
      <w:r>
        <w:t xml:space="preserve"> </w:t>
      </w:r>
      <w:r>
        <w:t xml:space="preserve">specific profile: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vs. Microsoft Fabric:</w:t>
      </w:r>
      <w:r>
        <w:t xml:space="preserve"> </w:t>
      </w:r>
      <w:r>
        <w:t xml:space="preserve">Fabric’s headline appeal is</w:t>
      </w:r>
      <w:r>
        <w:t xml:space="preserve"> </w:t>
      </w:r>
      <w:r>
        <w:t xml:space="preserve">“free with your E5</w:t>
      </w:r>
      <w:r>
        <w:t xml:space="preserve"> </w:t>
      </w:r>
      <w:r>
        <w:t xml:space="preserve">license”</w:t>
      </w:r>
      <w:r>
        <w:t xml:space="preserve"> </w:t>
      </w:r>
      <w:r>
        <w:t xml:space="preserve">and native Azure tenancy. We recommend evaluating the</w:t>
      </w:r>
      <w:r>
        <w:t xml:space="preserve"> </w:t>
      </w:r>
      <w:r>
        <w:rPr>
          <w:i/>
          <w:iCs/>
        </w:rPr>
        <w:t xml:space="preserve">fully</w:t>
      </w:r>
      <w:r>
        <w:rPr>
          <w:i/>
          <w:iCs/>
        </w:rPr>
        <w:t xml:space="preserve"> </w:t>
      </w:r>
      <w:r>
        <w:rPr>
          <w:i/>
          <w:iCs/>
        </w:rPr>
        <w:t xml:space="preserve">loaded</w:t>
      </w:r>
      <w:r>
        <w:t xml:space="preserve"> </w:t>
      </w:r>
      <w:r>
        <w:t xml:space="preserve">3-year TCO including Microsoft consulting hours, not just license</w:t>
      </w:r>
      <w:r>
        <w:t xml:space="preserve"> </w:t>
      </w:r>
      <w:r>
        <w:t xml:space="preserve">cost — and weighing platform maturity (BTS-Synthetic: 8 years in</w:t>
      </w:r>
      <w:r>
        <w:t xml:space="preserve"> </w:t>
      </w:r>
      <w:r>
        <w:t xml:space="preserve">production; Fabric: under 2). We match Fabric’s Power BI depth without</w:t>
      </w:r>
      <w:r>
        <w:t xml:space="preserve"> </w:t>
      </w:r>
      <w:r>
        <w:t xml:space="preserve">locking you into a single cloud.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vs. Databricks:</w:t>
      </w:r>
      <w:r>
        <w:t xml:space="preserve"> </w:t>
      </w:r>
      <w:r>
        <w:t xml:space="preserve">Databricks’ Lakehouse/Delta story is strong for</w:t>
      </w:r>
      <w:r>
        <w:t xml:space="preserve"> </w:t>
      </w:r>
      <w:r>
        <w:t xml:space="preserve">engineering-heavy workloads, but total cost of ownership tends to surprise</w:t>
      </w:r>
      <w:r>
        <w:t xml:space="preserve"> </w:t>
      </w:r>
      <w:r>
        <w:t xml:space="preserve">customers as compute spend ramps, and analyst-facing BI tooling is less</w:t>
      </w:r>
      <w:r>
        <w:t xml:space="preserve"> </w:t>
      </w:r>
      <w:r>
        <w:t xml:space="preserve">mature than ours. We’re happy to run a side-by-side 3-year TCO model at</w:t>
      </w:r>
      <w:r>
        <w:t xml:space="preserve"> </w:t>
      </w:r>
      <w:r>
        <w:t xml:space="preserve">your projected volumes.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vs. Snowflake:</w:t>
      </w:r>
      <w:r>
        <w:t xml:space="preserve"> </w:t>
      </w:r>
      <w:r>
        <w:t xml:space="preserve">Snowflake’s analyst experience is excellent, but its</w:t>
      </w:r>
      <w:r>
        <w:t xml:space="preserve"> </w:t>
      </w:r>
      <w:r>
        <w:t xml:space="preserve">architecture is less suited to your real-time, high-volume IoT ingest</w:t>
      </w:r>
      <w:r>
        <w:t xml:space="preserve"> </w:t>
      </w:r>
      <w:r>
        <w:t xml:space="preserve">requirement and its ML story is bolted on rather than native.</w:t>
      </w:r>
    </w:p>
    <w:p>
      <w:pPr>
        <w:pStyle w:val="FirstParagraph"/>
      </w:pPr>
      <w:r>
        <w:rPr>
          <w:b/>
          <w:bCs/>
        </w:rPr>
        <w:t xml:space="preserve">Our recommended proof point:</w:t>
      </w:r>
      <w:r>
        <w:t xml:space="preserve"> </w:t>
      </w:r>
      <w:r>
        <w:t xml:space="preserve">a 3-year TCO comparison run against your</w:t>
      </w:r>
      <w:r>
        <w:t xml:space="preserve"> </w:t>
      </w:r>
      <w:r>
        <w:t xml:space="preserve">actual projected workload (280TB base, 12TB/month growth, 80K events/sec</w:t>
      </w:r>
      <w:r>
        <w:t xml:space="preserve"> </w:t>
      </w:r>
      <w:r>
        <w:t xml:space="preserve">peak) — this is exactly how we won the comparable Globex Manufacturing and</w:t>
      </w:r>
      <w:r>
        <w:t xml:space="preserve"> </w:t>
      </w:r>
      <w:r>
        <w:t xml:space="preserve">Initech Sensors deals against this same competitive set.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implementation-plan"/>
    <w:p>
      <w:pPr>
        <w:pStyle w:val="Heading2"/>
      </w:pPr>
      <w:r>
        <w:t xml:space="preserve">3. Implementation Plan</w:t>
      </w:r>
    </w:p>
    <w:p>
      <w:pPr>
        <w:pStyle w:val="FirstParagraph"/>
      </w:pPr>
      <w:r>
        <w:t xml:space="preserve">Based on your scale (multi-region, multi-source, Teradata migration), we</w:t>
      </w:r>
      <w:r>
        <w:t xml:space="preserve"> </w:t>
      </w:r>
      <w:r>
        <w:t xml:space="preserve">recommend our</w:t>
      </w:r>
      <w:r>
        <w:t xml:space="preserve"> </w:t>
      </w:r>
      <w:r>
        <w:rPr>
          <w:b/>
          <w:bCs/>
        </w:rPr>
        <w:t xml:space="preserve">large-enterprise implementation track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signature &amp; kickoff</w:t>
            </w:r>
          </w:p>
        </w:tc>
        <w:tc>
          <w:tcPr/>
          <w:p>
            <w:pPr>
              <w:pStyle w:val="Compact"/>
            </w:pPr>
            <w:r>
              <w:t xml:space="preserve">Week 0</w:t>
            </w:r>
          </w:p>
        </w:tc>
        <w:tc>
          <w:tcPr/>
          <w:p>
            <w:pPr>
              <w:pStyle w:val="Compact"/>
            </w:pPr>
            <w:r>
              <w:t xml:space="preserve">Joint governance model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production workload live</w:t>
            </w:r>
          </w:p>
        </w:tc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Typically one high-value batch or streaming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 region + residency controls validated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Gate before onboarding EU customer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batch + streaming ingest at full scale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Matches our typical</w:t>
            </w:r>
            <w:r>
              <w:t xml:space="preserve"> </w:t>
            </w:r>
            <w:r>
              <w:t xml:space="preserve">“full migration from a legacy warehouse”</w:t>
            </w:r>
            <w:r>
              <w:t xml:space="preserve"> </w:t>
            </w:r>
            <w:r>
              <w:t xml:space="preserve">timeline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BI rollout to analyst population (600 users)</w:t>
            </w:r>
          </w:p>
        </w:tc>
        <w:tc>
          <w:tcPr/>
          <w:p>
            <w:pPr>
              <w:pStyle w:val="Compact"/>
            </w:pPr>
            <w:r>
              <w:t xml:space="preserve">Week 18</w:t>
            </w:r>
          </w:p>
        </w:tc>
        <w:tc>
          <w:tcPr/>
          <w:p>
            <w:pPr>
              <w:pStyle w:val="Compact"/>
            </w:pPr>
            <w:r>
              <w:t xml:space="preserve">Phased by business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East secondary region + DR validated</w:t>
            </w:r>
          </w:p>
        </w:tc>
        <w:tc>
          <w:tcPr/>
          <w:p>
            <w:pPr>
              <w:pStyle w:val="Compact"/>
            </w:pPr>
            <w:r>
              <w:t xml:space="preserve">Week 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Full multi-region, multi-source cutover; legacy Teradata sunset support</w:t>
            </w:r>
          </w:p>
        </w:tc>
        <w:tc>
          <w:tcPr/>
          <w:p>
            <w:pPr>
              <w:pStyle w:val="Compact"/>
            </w:pPr>
            <w:r>
              <w:t xml:space="preserve">Week 24</w:t>
            </w:r>
          </w:p>
        </w:tc>
        <w:tc>
          <w:tcPr/>
          <w:p>
            <w:pPr>
              <w:pStyle w:val="Compact"/>
            </w:pPr>
            <w:r>
              <w:t xml:space="preserve">Aligned to your 2027 Teradata decommission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ML/feature store provisioning (predictive maintenance readiness)</w:t>
            </w:r>
          </w:p>
        </w:tc>
        <w:tc>
          <w:tcPr/>
          <w:p>
            <w:pPr>
              <w:pStyle w:val="Compact"/>
            </w:pPr>
            <w:r>
              <w:t xml:space="preserve">Week 24+</w:t>
            </w:r>
          </w:p>
        </w:tc>
        <w:tc>
          <w:tcPr/>
          <w:p>
            <w:pPr>
              <w:pStyle w:val="Compact"/>
            </w:pPr>
            <w:r>
              <w:t xml:space="preserve">Ahead of go-live, no re-platforming required</w:t>
            </w:r>
          </w:p>
        </w:tc>
      </w:tr>
    </w:tbl>
    <w:p>
      <w:pPr>
        <w:pStyle w:val="BodyText"/>
      </w:pPr>
      <w:r>
        <w:t xml:space="preserve">We propose award by 2026-06-30 as requested, with kickoff the following week.</w:t>
      </w:r>
    </w:p>
    <w:p>
      <w:r>
        <w:pict>
          <v:rect style="width:0;height:1.5pt" o:hralign="center" o:hrstd="t" o:hr="t"/>
        </w:pict>
      </w:r>
    </w:p>
    <w:bookmarkEnd w:id="15"/>
    <w:bookmarkStart w:id="22" w:name="commercial-proposal"/>
    <w:p>
      <w:pPr>
        <w:pStyle w:val="Heading2"/>
      </w:pPr>
      <w:r>
        <w:t xml:space="preserve">4. Commercial Proposal</w:t>
      </w:r>
    </w:p>
    <w:bookmarkStart w:id="16" w:name="pricing-structure"/>
    <w:p>
      <w:pPr>
        <w:pStyle w:val="Heading3"/>
      </w:pPr>
      <w:r>
        <w:t xml:space="preserve">4.1 Pricing structure</w:t>
      </w:r>
    </w:p>
    <w:p>
      <w:pPr>
        <w:pStyle w:val="FirstParagraph"/>
      </w:pPr>
      <w:r>
        <w:t xml:space="preserve">At Acme’s scale (unlimited ingest/users, 24/7 support, dedicated CSM), the</w:t>
      </w:r>
      <w:r>
        <w:t xml:space="preserve"> </w:t>
      </w:r>
      <w:r>
        <w:rPr>
          <w:b/>
          <w:bCs/>
        </w:rPr>
        <w:t xml:space="preserve">Enterprise tier</w:t>
      </w:r>
      <w:r>
        <w:t xml:space="preserve"> </w:t>
      </w:r>
      <w:r>
        <w:t xml:space="preserve">is the appropriate platform: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Annual list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Enterprise base (unlimited ingest, unlimited users, 24/7 support, 99.95% SLA, dedicated CSM)</w:t>
            </w:r>
          </w:p>
        </w:tc>
        <w:tc>
          <w:tcPr/>
          <w:p>
            <w:pPr>
              <w:pStyle w:val="Compact"/>
            </w:pPr>
            <w:r>
              <w:t xml:space="preserve">$720,000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99.99% SLA add-on (multi-region active-active architecture)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annual list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$820,000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5-year total list value:</w:t>
      </w:r>
      <w:r>
        <w:t xml:space="preserve"> </w:t>
      </w:r>
      <w:r>
        <w:t xml:space="preserve">$4,100,000 (before discount).</w:t>
      </w:r>
    </w:p>
    <w:bookmarkEnd w:id="16"/>
    <w:bookmarkStart w:id="17" w:name="discount"/>
    <w:p>
      <w:pPr>
        <w:pStyle w:val="Heading3"/>
      </w:pPr>
      <w:r>
        <w:t xml:space="preserve">4.2 Discount</w:t>
      </w:r>
    </w:p>
    <w:p>
      <w:pPr>
        <w:pStyle w:val="FirstParagraph"/>
      </w:pPr>
      <w:r>
        <w:t xml:space="preserve">The RFP requests a minimum 35% discount off list. Our standard discount</w:t>
      </w:r>
      <w:r>
        <w:t xml:space="preserve"> </w:t>
      </w:r>
      <w:r>
        <w:t xml:space="preserve">bands cap out at 20% (standard) / 25% (strategic sign-off) for deals in the</w:t>
      </w:r>
      <w:r>
        <w:t xml:space="preserve"> </w:t>
      </w:r>
      <w:r>
        <w:t xml:space="preserve">$500K–$1M annual range, and this deal qualifies for our strategic band on</w:t>
      </w:r>
      <w:r>
        <w:t xml:space="preserve"> </w:t>
      </w:r>
      <w:r>
        <w:t xml:space="preserve">every count: target vertical (industrial/IoT), a 3+ year committed term, and</w:t>
      </w:r>
      <w:r>
        <w:t xml:space="preserve"> </w:t>
      </w:r>
      <w:r>
        <w:t xml:space="preserve">strong reference-customer potential.</w:t>
      </w:r>
    </w:p>
    <w:p>
      <w:pPr>
        <w:pStyle w:val="BodyText"/>
      </w:pPr>
      <w:r>
        <w:rPr>
          <w:b/>
          <w:bCs/>
        </w:rPr>
        <w:t xml:space="preserve">We are proposing a 25% strategic discount</w:t>
      </w:r>
      <w:r>
        <w:t xml:space="preserve"> </w:t>
      </w:r>
      <w:r>
        <w:t xml:space="preserve">— $615,000/year on the base</w:t>
      </w:r>
      <w:r>
        <w:t xml:space="preserve"> </w:t>
      </w:r>
      <w:r>
        <w:t xml:space="preserve">platform, or</w:t>
      </w:r>
      <w:r>
        <w:t xml:space="preserve"> </w:t>
      </w:r>
      <w:r>
        <w:rPr>
          <w:b/>
          <w:bCs/>
        </w:rPr>
        <w:t xml:space="preserve">$3,075,000 across the 5-year horizon</w:t>
      </w:r>
      <w:r>
        <w:t xml:space="preserve"> </w:t>
      </w:r>
      <w:r>
        <w:t xml:space="preserve">including the SLA</w:t>
      </w:r>
      <w:r>
        <w:t xml:space="preserve"> </w:t>
      </w:r>
      <w:r>
        <w:t xml:space="preserve">add-on years — with VP Sales sign-off already in motion. We recognize this</w:t>
      </w:r>
      <w:r>
        <w:t xml:space="preserve"> </w:t>
      </w:r>
      <w:r>
        <w:t xml:space="preserve">is short of your 35% target, and we’d rather be candid about that gap now</w:t>
      </w:r>
      <w:r>
        <w:t xml:space="preserve"> </w:t>
      </w:r>
      <w:r>
        <w:t xml:space="preserve">than discover it at contract redline. Our best path to closing that gap is</w:t>
      </w:r>
      <w:r>
        <w:t xml:space="preserve"> </w:t>
      </w:r>
      <w:r>
        <w:t xml:space="preserve">the 3-year TCO comparison referenced in Section 2.3: on deals of this profile</w:t>
      </w:r>
      <w:r>
        <w:t xml:space="preserve"> </w:t>
      </w:r>
      <w:r>
        <w:t xml:space="preserve">(Globex Manufacturing, Initech Sensors), we’ve closed at 15–18% discount and</w:t>
      </w:r>
      <w:r>
        <w:t xml:space="preserve"> </w:t>
      </w:r>
      <w:r>
        <w:t xml:space="preserve">still won on projected TCO against Databricks/Snowflake/Fabric list pricing.</w:t>
      </w:r>
      <w:r>
        <w:t xml:space="preserve"> </w:t>
      </w:r>
      <w:r>
        <w:t xml:space="preserve">We’re glad to walk your team through that model.</w:t>
      </w:r>
    </w:p>
    <w:bookmarkEnd w:id="17"/>
    <w:bookmarkStart w:id="18" w:name="term-pricing-horizon"/>
    <w:p>
      <w:pPr>
        <w:pStyle w:val="Heading3"/>
      </w:pPr>
      <w:r>
        <w:t xml:space="preserve">4.3 Term &amp; pricing horizon</w:t>
      </w:r>
    </w:p>
    <w:p>
      <w:pPr>
        <w:pStyle w:val="FirstParagraph"/>
      </w:pPr>
      <w:r>
        <w:t xml:space="preserve">We can commit to</w:t>
      </w:r>
      <w:r>
        <w:t xml:space="preserve"> </w:t>
      </w:r>
      <w:r>
        <w:rPr>
          <w:b/>
          <w:bCs/>
        </w:rPr>
        <w:t xml:space="preserve">fixed unit pricing for the full 3-year initial term, no</w:t>
      </w:r>
      <w:r>
        <w:rPr>
          <w:b/>
          <w:bCs/>
        </w:rPr>
        <w:t xml:space="preserve"> </w:t>
      </w:r>
      <w:r>
        <w:rPr>
          <w:b/>
          <w:bCs/>
        </w:rPr>
        <w:t xml:space="preserve">escalator</w:t>
      </w:r>
      <w:r>
        <w:t xml:space="preserve"> </w:t>
      </w:r>
      <w:r>
        <w:t xml:space="preserve">— meeting your requirement for the initial term. For the 2-year</w:t>
      </w:r>
      <w:r>
        <w:t xml:space="preserve"> </w:t>
      </w:r>
      <w:r>
        <w:t xml:space="preserve">renewal option, we propose a capped escalator (CPI + 2%, capped at 5%/year)</w:t>
      </w:r>
      <w:r>
        <w:t xml:space="preserve"> </w:t>
      </w:r>
      <w:r>
        <w:t xml:space="preserve">consistent with our standard 3-year-term pricing policy, disclosed in full</w:t>
      </w:r>
      <w:r>
        <w:t xml:space="preserve"> </w:t>
      </w:r>
      <w:r>
        <w:t xml:space="preserve">now so there are no surprises at renewal. This gives you cost certainty for</w:t>
      </w:r>
      <w:r>
        <w:t xml:space="preserve"> </w:t>
      </w:r>
      <w:r>
        <w:t xml:space="preserve">the initial term and a known, bounded ceiling for the renewal — full 5-year</w:t>
      </w:r>
      <w:r>
        <w:t xml:space="preserve"> </w:t>
      </w:r>
      <w:r>
        <w:t xml:space="preserve">pricing transparency, as requested, without an open-ended commitment on our</w:t>
      </w:r>
      <w:r>
        <w:t xml:space="preserve"> </w:t>
      </w:r>
      <w:r>
        <w:t xml:space="preserve">side.</w:t>
      </w:r>
    </w:p>
    <w:bookmarkEnd w:id="18"/>
    <w:bookmarkStart w:id="19" w:name="payment-terms"/>
    <w:p>
      <w:pPr>
        <w:pStyle w:val="Heading3"/>
      </w:pPr>
      <w:r>
        <w:t xml:space="preserve">4.4 Payment terms</w:t>
      </w:r>
    </w:p>
    <w:p>
      <w:pPr>
        <w:pStyle w:val="FirstParagraph"/>
      </w:pPr>
      <w:r>
        <w:t xml:space="preserve">We propose</w:t>
      </w:r>
      <w:r>
        <w:t xml:space="preserve"> </w:t>
      </w:r>
      <w:r>
        <w:rPr>
          <w:b/>
          <w:bCs/>
        </w:rPr>
        <w:t xml:space="preserve">annual payment in advance, Net 60</w:t>
      </w:r>
      <w:r>
        <w:t xml:space="preserve"> </w:t>
      </w:r>
      <w:r>
        <w:t xml:space="preserve">(rather than the requested</w:t>
      </w:r>
      <w:r>
        <w:t xml:space="preserve"> </w:t>
      </w:r>
      <w:r>
        <w:t xml:space="preserve">Net 90). Net 60 is a concession we make for Fortune-500-scale customers with</w:t>
      </w:r>
      <w:r>
        <w:t xml:space="preserve"> </w:t>
      </w:r>
      <w:r>
        <w:t xml:space="preserve">strong credit, which we’re glad to extend given Acme’s ~$1.4B revenue and</w:t>
      </w:r>
      <w:r>
        <w:t xml:space="preserve"> </w:t>
      </w:r>
      <w:r>
        <w:t xml:space="preserve">global footprint.</w:t>
      </w:r>
    </w:p>
    <w:bookmarkEnd w:id="19"/>
    <w:bookmarkStart w:id="20" w:name="most-favoured-nation-clause"/>
    <w:p>
      <w:pPr>
        <w:pStyle w:val="Heading3"/>
      </w:pPr>
      <w:r>
        <w:t xml:space="preserve">4.5 Most-Favoured-Nation clause</w:t>
      </w:r>
    </w:p>
    <w:p>
      <w:pPr>
        <w:pStyle w:val="FirstParagraph"/>
      </w:pPr>
      <w:r>
        <w:t xml:space="preserve">We are not able to offer an MFN warranty. Our pricing is tailored to each</w:t>
      </w:r>
      <w:r>
        <w:t xml:space="preserve"> </w:t>
      </w:r>
      <w:r>
        <w:t xml:space="preserve">customer’s specific workload profile, term, and volume commitments, and an</w:t>
      </w:r>
      <w:r>
        <w:t xml:space="preserve"> </w:t>
      </w:r>
      <w:r>
        <w:t xml:space="preserve">MFN clause would prevent us from offering any customer — including Acme in</w:t>
      </w:r>
      <w:r>
        <w:t xml:space="preserve"> </w:t>
      </w:r>
      <w:r>
        <w:t xml:space="preserve">future negotiations — deal-specific flexibility. We’d like to discuss</w:t>
      </w:r>
      <w:r>
        <w:t xml:space="preserve"> </w:t>
      </w:r>
      <w:r>
        <w:t xml:space="preserve">removing this clause; in its place we’re happy to offer a volume true-up</w:t>
      </w:r>
      <w:r>
        <w:t xml:space="preserve"> </w:t>
      </w:r>
      <w:r>
        <w:t xml:space="preserve">mechanism (10% buffer above committed volume) so Acme’s pricing stays</w:t>
      </w:r>
      <w:r>
        <w:t xml:space="preserve"> </w:t>
      </w:r>
      <w:r>
        <w:t xml:space="preserve">aligned to actual usage.</w:t>
      </w:r>
    </w:p>
    <w:bookmarkEnd w:id="20"/>
    <w:bookmarkStart w:id="21" w:name="other-commercial-terms"/>
    <w:p>
      <w:pPr>
        <w:pStyle w:val="Heading3"/>
      </w:pPr>
      <w:r>
        <w:t xml:space="preserve">4.6 Other commercial terms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Termination:</w:t>
      </w:r>
      <w:r>
        <w:t xml:space="preserve"> </w:t>
      </w:r>
      <w:r>
        <w:t xml:space="preserve">We propose either party may terminate for convenience on</w:t>
      </w:r>
      <w:r>
        <w:t xml:space="preserve"> </w:t>
      </w:r>
      <w:r>
        <w:t xml:space="preserve">90 days’ written notice (standard), or 60 days if preferred, with fees</w:t>
      </w:r>
      <w:r>
        <w:t xml:space="preserve"> </w:t>
      </w:r>
      <w:r>
        <w:t xml:space="preserve">pro-rated to the termination date and no penalty either way.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Liability:</w:t>
      </w:r>
      <w:r>
        <w:t xml:space="preserve"> </w:t>
      </w:r>
      <w:r>
        <w:t xml:space="preserve">We propose an aggregate liability cap of 24 months of fees</w:t>
      </w:r>
      <w:r>
        <w:t xml:space="preserve"> </w:t>
      </w:r>
      <w:r>
        <w:t xml:space="preserve">paid, with uncapped carve-outs for gross negligence and IP infringement —</w:t>
      </w:r>
      <w:r>
        <w:t xml:space="preserve"> </w:t>
      </w:r>
      <w:r>
        <w:t xml:space="preserve">this is the ceiling our cyber insurance policy supports and is consistent</w:t>
      </w:r>
      <w:r>
        <w:t xml:space="preserve"> </w:t>
      </w:r>
      <w:r>
        <w:t xml:space="preserve">with caps we’ve agreed on comparably-sized programs.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Audit rights:</w:t>
      </w:r>
      <w:r>
        <w:t xml:space="preserve"> </w:t>
      </w:r>
      <w:r>
        <w:t xml:space="preserve">One audit per calendar year with 30 days’ notice, at</w:t>
      </w:r>
      <w:r>
        <w:t xml:space="preserve"> </w:t>
      </w:r>
      <w:r>
        <w:t xml:space="preserve">Acme’s cost for any audits beyond the first — consistent with maintaining</w:t>
      </w:r>
      <w:r>
        <w:t xml:space="preserve"> </w:t>
      </w:r>
      <w:r>
        <w:t xml:space="preserve">SOC 2 Type II / ISO 27001 certifications across our customer base.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Intellectual property:</w:t>
      </w:r>
      <w:r>
        <w:t xml:space="preserve"> </w:t>
      </w:r>
      <w:r>
        <w:t xml:space="preserve">Acme’s data is Acme’s, always. Custom</w:t>
      </w:r>
      <w:r>
        <w:t xml:space="preserve"> </w:t>
      </w:r>
      <w:r>
        <w:t xml:space="preserve">configurations and integrations we build for Acme are licensed to Acme</w:t>
      </w:r>
      <w:r>
        <w:t xml:space="preserve"> </w:t>
      </w:r>
      <w:r>
        <w:t xml:space="preserve">(not assigned) — mirroring the license-back model we agreed with Stark</w:t>
      </w:r>
      <w:r>
        <w:t xml:space="preserve"> </w:t>
      </w:r>
      <w:r>
        <w:t xml:space="preserve">Industries, which let them retain full commercial use of derivative work</w:t>
      </w:r>
      <w:r>
        <w:t xml:space="preserve"> </w:t>
      </w:r>
      <w:r>
        <w:t xml:space="preserve">without us losing the underlying IP we reuse across our platform.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Subprocessors:</w:t>
      </w:r>
      <w:r>
        <w:t xml:space="preserve"> </w:t>
      </w:r>
      <w:r>
        <w:t xml:space="preserve">We maintain a public subprocessor list with 30 days’</w:t>
      </w:r>
      <w:r>
        <w:t xml:space="preserve"> </w:t>
      </w:r>
      <w:r>
        <w:t xml:space="preserve">advance notice of any change; Acme may object, triggering substitution or</w:t>
      </w:r>
      <w:r>
        <w:t xml:space="preserve"> </w:t>
      </w:r>
      <w:r>
        <w:t xml:space="preserve">a termination right — rather than a blanket pre-approval requirement,</w:t>
      </w:r>
      <w:r>
        <w:t xml:space="preserve"> </w:t>
      </w:r>
      <w:r>
        <w:t xml:space="preserve">which is more operationally workable for a platform at this scale.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Service levels:</w:t>
      </w:r>
      <w:r>
        <w:t xml:space="preserve"> </w:t>
      </w:r>
      <w:r>
        <w:t xml:space="preserve">99.95% standard, service credits up to 30% of monthly</w:t>
      </w:r>
      <w:r>
        <w:t xml:space="preserve"> </w:t>
      </w:r>
      <w:r>
        <w:t xml:space="preserve">fees as sole remedy; 99.99% available via the add-on in Section 4.1 with</w:t>
      </w:r>
      <w:r>
        <w:t xml:space="preserve"> </w:t>
      </w:r>
      <w:r>
        <w:t xml:space="preserve">a mutually workable remedy structure (rather than immediate termination on</w:t>
      </w:r>
      <w:r>
        <w:t xml:space="preserve"> </w:t>
      </w:r>
      <w:r>
        <w:t xml:space="preserve">any SLA miss).</w:t>
      </w:r>
    </w:p>
    <w:p>
      <w:pPr>
        <w:pStyle w:val="FirstParagraph"/>
      </w:pPr>
      <w:r>
        <w:t xml:space="preserve">We believe every position above is negotiable in good faith and none of them</w:t>
      </w:r>
      <w:r>
        <w:t xml:space="preserve"> </w:t>
      </w:r>
      <w:r>
        <w:t xml:space="preserve">should be a blocker to award — we’d like to work through them collaboratively</w:t>
      </w:r>
      <w:r>
        <w:t xml:space="preserve"> </w:t>
      </w:r>
      <w:r>
        <w:t xml:space="preserve">during the evaluation window.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customer-references"/>
    <w:p>
      <w:pPr>
        <w:pStyle w:val="Heading2"/>
      </w:pPr>
      <w:r>
        <w:t xml:space="preserve">5. Customer References</w:t>
      </w:r>
    </w:p>
    <w:p>
      <w:pPr>
        <w:pStyle w:val="FirstParagraph"/>
      </w:pPr>
      <w:r>
        <w:t xml:space="preserve">Three references matching Acme’s profile (industrial/IoT vertical, Microsoft/</w:t>
      </w:r>
      <w:r>
        <w:t xml:space="preserve"> </w:t>
      </w:r>
      <w:r>
        <w:t xml:space="preserve">Azure-aligned environment, comparable or larger scale):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Initech Sensors</w:t>
      </w:r>
      <w:r>
        <w:t xml:space="preserve"> </w:t>
      </w:r>
      <w:r>
        <w:t xml:space="preserve">— Industrial/IoT manufacturer, enterprise tier,</w:t>
      </w:r>
      <w:r>
        <w:t xml:space="preserve"> </w:t>
      </w:r>
      <w:r>
        <w:t xml:space="preserve">selected BTS-Synthetic over Microsoft Fabric on real-time ingest</w:t>
      </w:r>
      <w:r>
        <w:t xml:space="preserve"> </w:t>
      </w:r>
      <w:r>
        <w:t xml:space="preserve">performance and governance maturity. Closed 2025-11-22.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Globex Manufacturing</w:t>
      </w:r>
      <w:r>
        <w:t xml:space="preserve"> </w:t>
      </w:r>
      <w:r>
        <w:t xml:space="preserve">— Industrial/manufacturing, enterprise tier,</w:t>
      </w:r>
      <w:r>
        <w:t xml:space="preserve"> </w:t>
      </w:r>
      <w:r>
        <w:t xml:space="preserve">won against Snowflake and Databricks on a 3-year TCO comparison at a</w:t>
      </w:r>
      <w:r>
        <w:t xml:space="preserve"> </w:t>
      </w:r>
      <w:r>
        <w:t xml:space="preserve">heavy-unstructured-data workload profile. Closed 2025-09-14.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Stark Industries</w:t>
      </w:r>
      <w:r>
        <w:t xml:space="preserve"> </w:t>
      </w:r>
      <w:r>
        <w:t xml:space="preserve">— Large enterprise, 5-year term, sovereign deployment</w:t>
      </w:r>
      <w:r>
        <w:t xml:space="preserve"> </w:t>
      </w:r>
      <w:r>
        <w:t xml:space="preserve">with a license-back IP model comparable to what we’re proposing for</w:t>
      </w:r>
      <w:r>
        <w:t xml:space="preserve"> </w:t>
      </w:r>
      <w:r>
        <w:t xml:space="preserve">Acme’s custom work product. Closed 2026-02-10.</w:t>
      </w:r>
    </w:p>
    <w:p>
      <w:pPr>
        <w:pStyle w:val="FirstParagraph"/>
      </w:pPr>
      <w:r>
        <w:t xml:space="preserve">Full reference contacts available on request, subject to each customer’s</w:t>
      </w:r>
      <w:r>
        <w:t xml:space="preserve"> </w:t>
      </w:r>
      <w:r>
        <w:t xml:space="preserve">reference agreement terms.</w:t>
      </w:r>
    </w:p>
    <w:p>
      <w:r>
        <w:pict>
          <v:rect style="width:0;height:1.5pt" o:hralign="center" o:hrstd="t" o:hr="t"/>
        </w:pict>
      </w:r>
    </w:p>
    <w:bookmarkEnd w:id="23"/>
    <w:bookmarkStart w:id="24" w:name="capability-matrix"/>
    <w:p>
      <w:pPr>
        <w:pStyle w:val="Heading2"/>
      </w:pPr>
      <w:r>
        <w:t xml:space="preserve">6. Capability Matrix</w:t>
      </w:r>
    </w:p>
    <w:p>
      <w:pPr>
        <w:pStyle w:val="FirstParagraph"/>
      </w:pPr>
      <w:r>
        <w:t xml:space="preserve">The completed BTS-Synthetic Capability Matrix is provided as a separate</w:t>
      </w:r>
      <w:r>
        <w:t xml:space="preserve"> </w:t>
      </w:r>
      <w:r>
        <w:t xml:space="preserve">attachment per the RFP’s requested format.</w:t>
      </w:r>
    </w:p>
    <w:p>
      <w:r>
        <w:pict>
          <v:rect style="width:0;height:1.5pt" o:hralign="center" o:hrstd="t" o:hr="t"/>
        </w:pict>
      </w:r>
    </w:p>
    <w:bookmarkEnd w:id="24"/>
    <w:bookmarkStart w:id="25" w:name="next-steps"/>
    <w:p>
      <w:pPr>
        <w:pStyle w:val="Heading2"/>
      </w:pPr>
      <w:r>
        <w:t xml:space="preserve">7. Next Steps</w:t>
      </w:r>
    </w:p>
    <w:p>
      <w:pPr>
        <w:pStyle w:val="FirstParagraph"/>
      </w:pPr>
      <w:r>
        <w:t xml:space="preserve">We would welcome the opportunity to present this proposal to Sarah Chen and</w:t>
      </w:r>
      <w:r>
        <w:t xml:space="preserve"> </w:t>
      </w:r>
      <w:r>
        <w:t xml:space="preserve">Marcus Webb’s teams before the 2026-05-26 response deadline, including a</w:t>
      </w:r>
      <w:r>
        <w:t xml:space="preserve"> </w:t>
      </w:r>
      <w:r>
        <w:t xml:space="preserve">live walkthrough of the 3-year TCO model referenced in Sections 2.3 and 4.2.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BTS-Synthetic Deal Desk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2026-07-06T02:14:53Z</dcterms:created>
  <dcterms:modified xsi:type="dcterms:W3CDTF">2026-07-06T02:14:53Z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