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BTS-Synthetic Enterprise Data Platform — Proposal for Acme Corp</w:t>
      </w:r>
    </w:p>
    <w:p>
      <w:pPr>
        <w:pStyle w:val="Author"/>
      </w:pPr>
      <w:r>
        <w:t xml:space="preserve">Prepared for Sarah Chen (VP Procurement) and Marcus Webb (CDO), Acme Corp</w:t>
      </w:r>
    </w:p>
    <w:p>
      <w:pPr>
        <w:pStyle w:val="Date"/>
      </w:pPr>
      <w:r>
        <w:t xml:space="preserve">2026-05-23</w:t>
      </w:r>
    </w:p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Acme Corp is retiring a patchwork of on-premises Teradata warehouses and ad-hoc</w:t>
      </w:r>
      <w:r>
        <w:t xml:space="preserve"> </w:t>
      </w:r>
      <w:r>
        <w:t xml:space="preserve">cloud analytics in favour of a single enterprise data platform that can carry</w:t>
      </w:r>
      <w:r>
        <w:t xml:space="preserve"> </w:t>
      </w:r>
      <w:r>
        <w:t xml:space="preserve">real-time IoT ingest, batch ETL, BI/reporting, self-service data engineering,</w:t>
      </w:r>
      <w:r>
        <w:t xml:space="preserve"> </w:t>
      </w:r>
      <w:r>
        <w:t xml:space="preserve">and future ML workloads — at 280 TB and growing ~12 TB/month, across EU and US</w:t>
      </w:r>
      <w:r>
        <w:t xml:space="preserve"> </w:t>
      </w:r>
      <w:r>
        <w:t xml:space="preserve">regions, inside a Microsoft/Azure-centric estate.</w:t>
      </w:r>
    </w:p>
    <w:p>
      <w:pPr>
        <w:pStyle w:val="BodyText"/>
      </w:pPr>
      <w:r>
        <w:t xml:space="preserve">BTS-Synthetic proposes our</w:t>
      </w:r>
      <w:r>
        <w:t xml:space="preserve"> </w:t>
      </w:r>
      <w:r>
        <w:rPr>
          <w:b/>
          <w:bCs/>
        </w:rPr>
        <w:t xml:space="preserve">Enterprise tier lakehouse platform</w:t>
      </w:r>
      <w:r>
        <w:t xml:space="preserve"> </w:t>
      </w:r>
      <w:r>
        <w:t xml:space="preserve">as that</w:t>
      </w:r>
      <w:r>
        <w:t xml:space="preserve"> </w:t>
      </w:r>
      <w:r>
        <w:t xml:space="preserve">single system of record. In summary: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Functional fit is high.</w:t>
      </w:r>
      <w:r>
        <w:t xml:space="preserve"> </w:t>
      </w:r>
      <w:r>
        <w:t xml:space="preserve">Native Delta/Iceberg/Parquet lakehouse, a</w:t>
      </w:r>
      <w:r>
        <w:t xml:space="preserve"> </w:t>
      </w:r>
      <w:r>
        <w:t xml:space="preserve">dedicated Power BI DirectQuery adapter (our most mature BI integration),</w:t>
      </w:r>
      <w:r>
        <w:t xml:space="preserve"> </w:t>
      </w:r>
      <w:r>
        <w:t xml:space="preserve">real-time streaming ingest tested to 250K events/second (Acme’s peak is</w:t>
      </w:r>
      <w:r>
        <w:t xml:space="preserve"> </w:t>
      </w:r>
      <w:r>
        <w:t xml:space="preserve">80K/second), 80+ batch connectors, and per-table EU data residency pinning</w:t>
      </w:r>
      <w:r>
        <w:t xml:space="preserve"> </w:t>
      </w:r>
      <w:r>
        <w:t xml:space="preserve">all map directly to the workloads and capabilities in Section 2 of your RFP.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flagged gap, transparently priced:</w:t>
      </w:r>
      <w:r>
        <w:t xml:space="preserve"> </w:t>
      </w:r>
      <w:r>
        <w:t xml:space="preserve">our Enterprise SLA is 99.95%</w:t>
      </w:r>
      <w:r>
        <w:t xml:space="preserve"> </w:t>
      </w:r>
      <w:r>
        <w:t xml:space="preserve">monthly uptime. 99.99% is available as a bespoke, multi-region active-active</w:t>
      </w:r>
      <w:r>
        <w:t xml:space="preserve"> </w:t>
      </w:r>
      <w:r>
        <w:t xml:space="preserve">add-on. We have priced it explicitly rather than silently over-promising —</w:t>
      </w:r>
      <w:r>
        <w:t xml:space="preserve"> </w:t>
      </w:r>
      <w:r>
        <w:t xml:space="preserve">see Commercial Proposal.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terms:</w:t>
      </w:r>
      <w:r>
        <w:t xml:space="preserve"> </w:t>
      </w:r>
      <w:r>
        <w:t xml:space="preserve">we are proposing a 30% strategic discount off list</w:t>
      </w:r>
      <w:r>
        <w:t xml:space="preserve"> </w:t>
      </w:r>
      <w:r>
        <w:t xml:space="preserve">(our board-approved ceiling for a deal of this size and strategic value),</w:t>
      </w:r>
      <w:r>
        <w:t xml:space="preserve"> </w:t>
      </w:r>
      <w:r>
        <w:t xml:space="preserve">fixed for the full 5-year horizon with no price escalator — a concession we</w:t>
      </w:r>
      <w:r>
        <w:t xml:space="preserve"> </w:t>
      </w:r>
      <w:r>
        <w:t xml:space="preserve">are able to make specifically because Acme is willing to commit to a 3-year</w:t>
      </w:r>
      <w:r>
        <w:t xml:space="preserve"> </w:t>
      </w:r>
      <w:r>
        <w:t xml:space="preserve">initial term with a 2-year renewal option.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 have won this exact profile before.</w:t>
      </w:r>
      <w:r>
        <w:t xml:space="preserve"> </w:t>
      </w:r>
      <w:r>
        <w:t xml:space="preserve">Initech Sensors (industrial IoT,</w:t>
      </w:r>
      <w:r>
        <w:t xml:space="preserve"> </w:t>
      </w:r>
      <w:r>
        <w:t xml:space="preserve">real-time ingest, evaluating Microsoft Fabric) and Globex Manufacturing</w:t>
      </w:r>
      <w:r>
        <w:t xml:space="preserve"> </w:t>
      </w:r>
      <w:r>
        <w:t xml:space="preserve">(industrial, evaluating Snowflake/Databricks) both chose BTS-Synthetic on a</w:t>
      </w:r>
      <w:r>
        <w:t xml:space="preserve"> </w:t>
      </w:r>
      <w:r>
        <w:t xml:space="preserve">3-year total-cost-of-ownership basis. We expect the same dynamic here against</w:t>
      </w:r>
      <w:r>
        <w:t xml:space="preserve"> </w:t>
      </w:r>
      <w:r>
        <w:t xml:space="preserve">Databricks, Snowflake, and Microsoft Fabric.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small number of contractual terms in your draft (uncapped liability, an</w:t>
      </w:r>
      <w:r>
        <w:rPr>
          <w:b/>
          <w:bCs/>
        </w:rPr>
        <w:t xml:space="preserve"> </w:t>
      </w:r>
      <w:r>
        <w:rPr>
          <w:b/>
          <w:bCs/>
        </w:rPr>
        <w:t xml:space="preserve">MFN clause, subprocessor veto rights, and an immediate-termination-on-any-SLA-miss</w:t>
      </w:r>
      <w:r>
        <w:rPr>
          <w:b/>
          <w:bCs/>
        </w:rPr>
        <w:t xml:space="preserve"> </w:t>
      </w:r>
      <w:r>
        <w:rPr>
          <w:b/>
          <w:bCs/>
        </w:rPr>
        <w:t xml:space="preserve">right) fall outside terms our insurers and legal team can support 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written.</w:t>
      </w:r>
      <w:r>
        <w:t xml:space="preserve"> </w:t>
      </w:r>
      <w:r>
        <w:t xml:space="preserve">We propose specific, workable counter-positions for each below</w:t>
      </w:r>
      <w:r>
        <w:t xml:space="preserve"> </w:t>
      </w:r>
      <w:r>
        <w:t xml:space="preserve">rather than simply declining — see Commercial Proposal §3 and the attached</w:t>
      </w:r>
      <w:r>
        <w:t xml:space="preserve"> </w:t>
      </w:r>
      <w:r>
        <w:t xml:space="preserve">internal risk memo is available on request.</w:t>
      </w:r>
    </w:p>
    <w:p>
      <w:pPr>
        <w:pStyle w:val="FirstParagraph"/>
      </w:pPr>
      <w:r>
        <w:t xml:space="preserve">We are confident this is a winnable, referenceable, multi-year strategic</w:t>
      </w:r>
      <w:r>
        <w:t xml:space="preserve"> </w:t>
      </w:r>
      <w:r>
        <w:t xml:space="preserve">account for both sides, and we look forward to a working session with Marcus</w:t>
      </w:r>
      <w:r>
        <w:t xml:space="preserve"> </w:t>
      </w:r>
      <w:r>
        <w:t xml:space="preserve">Webb’s team to validate the technical fit against your live workload profile.</w:t>
      </w:r>
    </w:p>
    <w:p>
      <w:r>
        <w:pict>
          <v:rect style="width:0;height:1.5pt" o:hralign="center" o:hrstd="t" o:hr="t"/>
        </w:pict>
      </w:r>
    </w:p>
    <w:bookmarkEnd w:id="9"/>
    <w:bookmarkStart w:id="15" w:name="technical-proposal"/>
    <w:p>
      <w:pPr>
        <w:pStyle w:val="Heading1"/>
      </w:pPr>
      <w:r>
        <w:t xml:space="preserve">Technical Proposal</w:t>
      </w:r>
    </w:p>
    <w:bookmarkStart w:id="10" w:name="architecture-fit-to-acmes-requirements"/>
    <w:p>
      <w:pPr>
        <w:pStyle w:val="Heading2"/>
      </w:pPr>
      <w:r>
        <w:t xml:space="preserve">Architecture fit to Acme’s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Acme requirement (RFP §2)</w:t>
            </w:r>
          </w:p>
        </w:tc>
        <w:tc>
          <w:tcPr/>
          <w:p>
            <w:pPr>
              <w:pStyle w:val="Compact"/>
            </w:pPr>
            <w:r>
              <w:t xml:space="preserve">BTS-Synthetic capability</w:t>
            </w:r>
          </w:p>
        </w:tc>
        <w:tc>
          <w:tcPr/>
          <w:p>
            <w:pPr>
              <w:pStyle w:val="Compac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ingest, ~40,000 IoT devices, peak 80,000 events/sec</w:t>
            </w:r>
          </w:p>
        </w:tc>
        <w:tc>
          <w:tcPr/>
          <w:p>
            <w:pPr>
              <w:pStyle w:val="Compact"/>
            </w:pPr>
            <w:r>
              <w:t xml:space="preserve">Native Kafka/Kinesis streaming consumers, tested to 250K events/sec single-region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ETL from 30+ internal sources</w:t>
            </w:r>
          </w:p>
        </w:tc>
        <w:tc>
          <w:tcPr/>
          <w:p>
            <w:pPr>
              <w:pStyle w:val="Compact"/>
            </w:pPr>
            <w:r>
              <w:t xml:space="preserve">80+ out-of-the-box connectors (SAP, Salesforce, NetSuite, common DBs); Debezium-compatible CDC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BI/reporting for ~600 analysts and executives</w:t>
            </w:r>
          </w:p>
        </w:tc>
        <w:tc>
          <w:tcPr/>
          <w:p>
            <w:pPr>
              <w:pStyle w:val="Compact"/>
            </w:pPr>
            <w:r>
              <w:t xml:space="preserve">Certified Power BI integration with a dedicated DirectQuery adapter — our most mature BI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(non-negotiable requirement met directly)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Self-service data prep for ~150 data engineers</w:t>
            </w:r>
          </w:p>
        </w:tc>
        <w:tc>
          <w:tcPr/>
          <w:p>
            <w:pPr>
              <w:pStyle w:val="Compact"/>
            </w:pPr>
            <w:r>
              <w:t xml:space="preserve">Low-code self-service prep UI for analyst/engineer personas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pipelines for predictive maintenance (planned)</w:t>
            </w:r>
          </w:p>
        </w:tc>
        <w:tc>
          <w:tcPr/>
          <w:p>
            <w:pPr>
              <w:pStyle w:val="Compact"/>
            </w:pPr>
            <w:r>
              <w:t xml:space="preserve">Model registry with versioning, offline/online feature store, native autoscaling model serving, bring-your-own-model (HF/Anthropic/OpenAI)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— ready when Acme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~280 TB current volume, ~12 TB/month growth</w:t>
            </w:r>
          </w:p>
        </w:tc>
        <w:tc>
          <w:tcPr/>
          <w:p>
            <w:pPr>
              <w:pStyle w:val="Compact"/>
            </w:pPr>
            <w:r>
              <w:t xml:space="preserve">Well within platform scale envelope; decoupled compute/storage scales independently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Multi-region: primary EU, secondary US East</w:t>
            </w:r>
          </w:p>
        </w:tc>
        <w:tc>
          <w:tcPr/>
          <w:p>
            <w:pPr>
              <w:pStyle w:val="Compact"/>
            </w:pPr>
            <w:r>
              <w:t xml:space="preserve">Multi-region deployment on Azure (and multi-cloud if ever needed)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data residency</w:t>
            </w:r>
          </w:p>
        </w:tc>
        <w:tc>
          <w:tcPr/>
          <w:p>
            <w:pPr>
              <w:pStyle w:val="Compact"/>
            </w:pPr>
            <w:r>
              <w:t xml:space="preserve">Per-table residency enforcement — EU tables pinned to EU regions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Lakehouse architecture preferred</w:t>
            </w:r>
          </w:p>
        </w:tc>
        <w:tc>
          <w:tcPr/>
          <w:p>
            <w:pPr>
              <w:pStyle w:val="Compact"/>
            </w:pPr>
            <w:r>
              <w:t xml:space="preserve">Core architecture — not bolted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formats: Parquet, Delta, Iceberg</w:t>
            </w:r>
          </w:p>
        </w:tc>
        <w:tc>
          <w:tcPr/>
          <w:p>
            <w:pPr>
              <w:pStyle w:val="Compact"/>
            </w:pPr>
            <w:r>
              <w:t xml:space="preserve">Native support for all three, portable, no proprietary lock-in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99.99% monthly uptime (RFP §4.3)</w:t>
            </w:r>
          </w:p>
        </w:tc>
        <w:tc>
          <w:tcPr/>
          <w:p>
            <w:pPr>
              <w:pStyle w:val="Compact"/>
            </w:pPr>
            <w:r>
              <w:t xml:space="preserve">Enterprise tier ships at 99.95%. 99.99% is available as a custom multi-region active-active add-on.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priced gap, see Commercial Proposal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assessment of the one gap:</w:t>
      </w:r>
      <w:r>
        <w:t xml:space="preserve"> </w:t>
      </w:r>
      <w:r>
        <w:t xml:space="preserve">BTS-Synthetic’s standard Enterprise SLA</w:t>
      </w:r>
      <w:r>
        <w:t xml:space="preserve"> </w:t>
      </w:r>
      <w:r>
        <w:t xml:space="preserve">is 99.95% monthly uptime. Reaching 99.99% requires a bespoke active-active</w:t>
      </w:r>
      <w:r>
        <w:t xml:space="preserve"> </w:t>
      </w:r>
      <w:r>
        <w:t xml:space="preserve">multi-region architecture, which we can deliver, but which is priced as an</w:t>
      </w:r>
      <w:r>
        <w:t xml:space="preserve"> </w:t>
      </w:r>
      <w:r>
        <w:t xml:space="preserve">add-on rather than baked silently into the base price — every vendor bidding</w:t>
      </w:r>
      <w:r>
        <w:t xml:space="preserve"> </w:t>
      </w:r>
      <w:r>
        <w:t xml:space="preserve">this RFP faces the same physics here, and we would rather be transparent about</w:t>
      </w:r>
      <w:r>
        <w:t xml:space="preserve"> </w:t>
      </w:r>
      <w:r>
        <w:t xml:space="preserve">it now than have it surface as a change order later.</w:t>
      </w:r>
    </w:p>
    <w:bookmarkEnd w:id="10"/>
    <w:bookmarkStart w:id="11" w:name="governance-compliance"/>
    <w:p>
      <w:pPr>
        <w:pStyle w:val="Heading2"/>
      </w:pPr>
      <w:r>
        <w:t xml:space="preserve">Governance &amp; compliance</w:t>
      </w:r>
    </w:p>
    <w:p>
      <w:pPr>
        <w:pStyle w:val="Compact"/>
        <w:numPr>
          <w:ilvl w:val="0"/>
          <w:numId w:val="1002"/>
        </w:numPr>
      </w:pPr>
      <w:r>
        <w:t xml:space="preserve">Unity-style catalog across tables, models, and dashboards.</w:t>
      </w:r>
    </w:p>
    <w:p>
      <w:pPr>
        <w:pStyle w:val="Compact"/>
        <w:numPr>
          <w:ilvl w:val="0"/>
          <w:numId w:val="1002"/>
        </w:numPr>
      </w:pPr>
      <w:r>
        <w:t xml:space="preserve">Row- and column-level security with attribute-based access control.</w:t>
      </w:r>
    </w:p>
    <w:p>
      <w:pPr>
        <w:pStyle w:val="Compact"/>
        <w:numPr>
          <w:ilvl w:val="0"/>
          <w:numId w:val="1002"/>
        </w:numPr>
      </w:pPr>
      <w:r>
        <w:t xml:space="preserve">Full audit logging of every read/write, exportable to Acme’s SIEM.</w:t>
      </w:r>
    </w:p>
    <w:p>
      <w:pPr>
        <w:pStyle w:val="Compact"/>
        <w:numPr>
          <w:ilvl w:val="0"/>
          <w:numId w:val="1002"/>
        </w:numPr>
      </w:pPr>
      <w:r>
        <w:t xml:space="preserve">Built-in PII detection and masking.</w:t>
      </w:r>
    </w:p>
    <w:p>
      <w:pPr>
        <w:pStyle w:val="Compact"/>
        <w:numPr>
          <w:ilvl w:val="0"/>
          <w:numId w:val="1002"/>
        </w:numPr>
      </w:pPr>
      <w:r>
        <w:t xml:space="preserve">SOC 2 Type II, ISO 27001, GDPR-aligned (DPA available), HIPAA-eligible.</w:t>
      </w:r>
    </w:p>
    <w:bookmarkEnd w:id="11"/>
    <w:bookmarkStart w:id="12" w:name="implementation-plan-and-milestones"/>
    <w:p>
      <w:pPr>
        <w:pStyle w:val="Heading2"/>
      </w:pPr>
      <w:r>
        <w:t xml:space="preserve">Implementation plan and milestones</w:t>
      </w:r>
    </w:p>
    <w:p>
      <w:pPr>
        <w:pStyle w:val="FirstParagraph"/>
      </w:pPr>
      <w:r>
        <w:t xml:space="preserve">Given Acme’s scale (280 TB, 30+ sources, legacy Teradata decommission through</w:t>
      </w:r>
      <w:r>
        <w:t xml:space="preserve"> </w:t>
      </w:r>
      <w:r>
        <w:t xml:space="preserve">2027) and multi-region footprint, we scope this as a</w:t>
      </w:r>
      <w:r>
        <w:t xml:space="preserve"> </w:t>
      </w:r>
      <w:r>
        <w:rPr>
          <w:b/>
          <w:bCs/>
        </w:rPr>
        <w:t xml:space="preserve">large, multi-region,</w:t>
      </w:r>
      <w:r>
        <w:rPr>
          <w:b/>
          <w:bCs/>
        </w:rPr>
        <w:t xml:space="preserve"> </w:t>
      </w:r>
      <w:r>
        <w:rPr>
          <w:b/>
          <w:bCs/>
        </w:rPr>
        <w:t xml:space="preserve">multi-source migration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Discovery &amp; architecture validation</w:t>
            </w:r>
          </w:p>
        </w:tc>
        <w:tc>
          <w:tcPr/>
          <w:p>
            <w:pPr>
              <w:pStyle w:val="Compact"/>
            </w:pPr>
            <w:r>
              <w:t xml:space="preserve">Weeks 1–4</w:t>
            </w:r>
          </w:p>
        </w:tc>
        <w:tc>
          <w:tcPr/>
          <w:p>
            <w:pPr>
              <w:pStyle w:val="Compact"/>
            </w:pPr>
            <w:r>
              <w:t xml:space="preserve">Source system inventory, EU/US region design, security/residency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Foundation build</w:t>
            </w:r>
          </w:p>
        </w:tc>
        <w:tc>
          <w:tcPr/>
          <w:p>
            <w:pPr>
              <w:pStyle w:val="Compact"/>
            </w:pPr>
            <w:r>
              <w:t xml:space="preserve">Weeks 5–10</w:t>
            </w:r>
          </w:p>
        </w:tc>
        <w:tc>
          <w:tcPr/>
          <w:p>
            <w:pPr>
              <w:pStyle w:val="Compact"/>
            </w:pPr>
            <w:r>
              <w:t xml:space="preserve">Lakehouse provisioned (EU primary, US East secondary), governance/catalog live, Power BI DirectQuery connectivity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First production workload</w:t>
            </w:r>
          </w:p>
        </w:tc>
        <w:tc>
          <w:tcPr/>
          <w:p>
            <w:pPr>
              <w:pStyle w:val="Compact"/>
            </w:pPr>
            <w:r>
              <w:t xml:space="preserve">Weeks 8–12 (parallel)</w:t>
            </w:r>
          </w:p>
        </w:tc>
        <w:tc>
          <w:tcPr/>
          <w:p>
            <w:pPr>
              <w:pStyle w:val="Compact"/>
            </w:pPr>
            <w:r>
              <w:t xml:space="preserve">First batch ETL source(s) and a subset of IoT ingest live in production — our typical</w:t>
            </w:r>
            <w:r>
              <w:t xml:space="preserve"> </w:t>
            </w:r>
            <w:r>
              <w:t xml:space="preserve">“first production workload”</w:t>
            </w:r>
            <w:r>
              <w:t xml:space="preserve"> </w:t>
            </w: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Phased source &amp; workload migration</w:t>
            </w:r>
          </w:p>
        </w:tc>
        <w:tc>
          <w:tcPr/>
          <w:p>
            <w:pPr>
              <w:pStyle w:val="Compact"/>
            </w:pPr>
            <w:r>
              <w:t xml:space="preserve">Weeks 12–20</w:t>
            </w:r>
          </w:p>
        </w:tc>
        <w:tc>
          <w:tcPr/>
          <w:p>
            <w:pPr>
              <w:pStyle w:val="Compact"/>
            </w:pPr>
            <w:r>
              <w:t xml:space="preserve">Remaining 30+ batch sources migrated; full 80K events/sec real-time ingest validated at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Full cutover from Teradata</w:t>
            </w:r>
          </w:p>
        </w:tc>
        <w:tc>
          <w:tcPr/>
          <w:p>
            <w:pPr>
              <w:pStyle w:val="Compact"/>
            </w:pPr>
            <w:r>
              <w:t xml:space="preserve">Weeks 20–24</w:t>
            </w:r>
          </w:p>
        </w:tc>
        <w:tc>
          <w:tcPr/>
          <w:p>
            <w:pPr>
              <w:pStyle w:val="Compact"/>
            </w:pPr>
            <w:r>
              <w:t xml:space="preserve">Legacy Teradata warehouses fully decommissioned per Acme’s 2027 timeline; 600 analysts/executives and 150 data engineers fully onboarded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ML enablement (optional, phase 2)</w:t>
            </w:r>
          </w:p>
        </w:tc>
        <w:tc>
          <w:tcPr/>
          <w:p>
            <w:pPr>
              <w:pStyle w:val="Compact"/>
            </w:pPr>
            <w:r>
              <w:t xml:space="preserve">Post go-live</w:t>
            </w:r>
          </w:p>
        </w:tc>
        <w:tc>
          <w:tcPr/>
          <w:p>
            <w:pPr>
              <w:pStyle w:val="Compact"/>
            </w:pPr>
            <w:r>
              <w:t xml:space="preserve">Feature store and model registry stood up ahead of predictive-maintenance pipelines</w:t>
            </w:r>
          </w:p>
        </w:tc>
      </w:tr>
    </w:tbl>
    <w:p>
      <w:pPr>
        <w:pStyle w:val="BodyText"/>
      </w:pPr>
      <w:r>
        <w:t xml:space="preserve">This is consistent with our typical</w:t>
      </w:r>
      <w:r>
        <w:t xml:space="preserve"> </w:t>
      </w:r>
      <w:r>
        <w:rPr>
          <w:b/>
          <w:bCs/>
        </w:rPr>
        <w:t xml:space="preserve">24-week timeline for very large,</w:t>
      </w:r>
      <w:r>
        <w:rPr>
          <w:b/>
          <w:bCs/>
        </w:rPr>
        <w:t xml:space="preserve"> </w:t>
      </w:r>
      <w:r>
        <w:rPr>
          <w:b/>
          <w:bCs/>
        </w:rPr>
        <w:t xml:space="preserve">multi-region, multi-source customers</w:t>
      </w:r>
      <w:r>
        <w:t xml:space="preserve">, well ahead of Acme’s 2026-06-30 award</w:t>
      </w:r>
      <w:r>
        <w:t xml:space="preserve"> </w:t>
      </w:r>
      <w:r>
        <w:t xml:space="preserve">target allowing implementation to begin promptly, and comfortably inside the</w:t>
      </w:r>
      <w:r>
        <w:t xml:space="preserve"> </w:t>
      </w:r>
      <w:r>
        <w:t xml:space="preserve">2027 Teradata decommission deadline.</w:t>
      </w:r>
    </w:p>
    <w:bookmarkEnd w:id="12"/>
    <w:bookmarkStart w:id="13" w:name="X20feff64635362c0e833360f2da8312e5d97339"/>
    <w:p>
      <w:pPr>
        <w:pStyle w:val="Heading2"/>
      </w:pPr>
      <w:r>
        <w:t xml:space="preserve">Customer references (similar scale, Power BI, Azure)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Initech Sensors</w:t>
      </w:r>
      <w:r>
        <w:t xml:space="preserve"> </w:t>
      </w:r>
      <w:r>
        <w:t xml:space="preserve">(Industrial / IoT) — real-time ingest performance and</w:t>
      </w:r>
      <w:r>
        <w:t xml:space="preserve"> </w:t>
      </w:r>
      <w:r>
        <w:t xml:space="preserve">governance maturity were the deciding factors against Microsoft Fabric;</w:t>
      </w:r>
      <w:r>
        <w:t xml:space="preserve"> </w:t>
      </w:r>
      <w:r>
        <w:t xml:space="preserve">comparable IoT/industrial profile to Acme.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Globex Manufacturing</w:t>
      </w:r>
      <w:r>
        <w:t xml:space="preserve"> </w:t>
      </w:r>
      <w:r>
        <w:t xml:space="preserve">(Industrial / Manufacturing) — won on a 3-year TCO</w:t>
      </w:r>
      <w:r>
        <w:t xml:space="preserve"> </w:t>
      </w:r>
      <w:r>
        <w:t xml:space="preserve">comparison against Snowflake and Databricks at a heavy, real workload</w:t>
      </w:r>
      <w:r>
        <w:t xml:space="preserve"> </w:t>
      </w:r>
      <w:r>
        <w:t xml:space="preserve">profile; directly comparable industry.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Wayne Manufacturing</w:t>
      </w:r>
      <w:r>
        <w:t xml:space="preserve"> </w:t>
      </w:r>
      <w:r>
        <w:t xml:space="preserve">(Industrial) — started via a 90-day PoC and signed</w:t>
      </w:r>
      <w:r>
        <w:t xml:space="preserve"> </w:t>
      </w:r>
      <w:r>
        <w:t xml:space="preserve">a reference-customer agreement; a template we would propose for Acme’s own</w:t>
      </w:r>
      <w:r>
        <w:t xml:space="preserve"> </w:t>
      </w:r>
      <w:r>
        <w:t xml:space="preserve">validation phase if helpful ahead of full commitment.</w:t>
      </w:r>
    </w:p>
    <w:p>
      <w:pPr>
        <w:pStyle w:val="FirstParagraph"/>
      </w:pPr>
      <w:r>
        <w:rPr>
          <w:i/>
          <w:iCs/>
        </w:rPr>
        <w:t xml:space="preserve">(Formal reference calls to be arranged directly between Acme and named</w:t>
      </w:r>
      <w:r>
        <w:rPr>
          <w:i/>
          <w:iCs/>
        </w:rPr>
        <w:t xml:space="preserve"> </w:t>
      </w:r>
      <w:r>
        <w:rPr>
          <w:i/>
          <w:iCs/>
        </w:rPr>
        <w:t xml:space="preserve">customer contacts, subject to those customers’ standard reference process.)</w:t>
      </w:r>
    </w:p>
    <w:bookmarkEnd w:id="13"/>
    <w:bookmarkStart w:id="14" w:name="capability-matrix-attachment"/>
    <w:p>
      <w:pPr>
        <w:pStyle w:val="Heading2"/>
      </w:pPr>
      <w:r>
        <w:t xml:space="preserve">Capability Matrix attachment</w:t>
      </w:r>
    </w:p>
    <w:p>
      <w:pPr>
        <w:pStyle w:val="FirstParagraph"/>
      </w:pPr>
      <w:r>
        <w:t xml:space="preserve">Per RFP §7, the completed Capability Matrix attachment accompanies this</w:t>
      </w:r>
      <w:r>
        <w:t xml:space="preserve"> </w:t>
      </w:r>
      <w:r>
        <w:t xml:space="preserve">proposal as a separate document.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commercial-proposal"/>
    <w:p>
      <w:pPr>
        <w:pStyle w:val="Heading1"/>
      </w:pPr>
      <w:r>
        <w:t xml:space="preserve">Commercial Proposal</w:t>
      </w:r>
    </w:p>
    <w:bookmarkStart w:id="16" w:name="pricing-full-5-year-transparency"/>
    <w:p>
      <w:pPr>
        <w:pStyle w:val="Heading2"/>
      </w:pPr>
      <w:r>
        <w:t xml:space="preserve">1. Pricing — full 5-year transparency</w:t>
      </w:r>
    </w:p>
    <w:p>
      <w:pPr>
        <w:pStyle w:val="FirstParagraph"/>
      </w:pPr>
      <w:r>
        <w:t xml:space="preserve">Acme’s scale (unlimited ingest/users required, 280 TB, 80K events/sec peak,</w:t>
      </w:r>
      <w:r>
        <w:t xml:space="preserve"> </w:t>
      </w:r>
      <w:r>
        <w:t xml:space="preserve">600+ analysts, 150 engineers) places this at our</w:t>
      </w:r>
      <w:r>
        <w:t xml:space="preserve"> </w:t>
      </w:r>
      <w:r>
        <w:rPr>
          <w:b/>
          <w:bCs/>
        </w:rPr>
        <w:t xml:space="preserve">Enterprise tier</w:t>
      </w:r>
      <w:r>
        <w:t xml:space="preserve">, the only</w:t>
      </w:r>
      <w:r>
        <w:t xml:space="preserve"> </w:t>
      </w:r>
      <w:r>
        <w:t xml:space="preserve">tier we recommend for deals of this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Annual list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base (unlimited ingest, unlimited users, 24/7 support, 99.95% SLA, dedicated CSM)</w:t>
            </w:r>
          </w:p>
        </w:tc>
        <w:tc>
          <w:tcPr/>
          <w:p>
            <w:pPr>
              <w:pStyle w:val="Compact"/>
            </w:pPr>
            <w:r>
              <w:t xml:space="preserve">$720,000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Optional: 99.99% SLA add-on (bespoke multi-region active-active architecture)</w:t>
            </w:r>
          </w:p>
        </w:tc>
        <w:tc>
          <w:tcPr/>
          <w:p>
            <w:pPr>
              <w:pStyle w:val="Compact"/>
            </w:pPr>
            <w:r>
              <w:t xml:space="preserve">+$100,000 (indicative; $80K–$120K band)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annual list (with 99.99% SLA add-on)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$820,000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Discount:</w:t>
      </w:r>
      <w:r>
        <w:t xml:space="preserve"> </w:t>
      </w:r>
      <w:r>
        <w:t xml:space="preserve">RFP §3.3 requests no less than 35% off list. Our published</w:t>
      </w:r>
      <w:r>
        <w:t xml:space="preserve"> </w:t>
      </w:r>
      <w:r>
        <w:t xml:space="preserve">discount bands cap at</w:t>
      </w:r>
      <w:r>
        <w:t xml:space="preserve"> </w:t>
      </w:r>
      <w:r>
        <w:rPr>
          <w:b/>
          <w:bCs/>
        </w:rPr>
        <w:t xml:space="preserve">25% standard / 30% strategic</w:t>
      </w:r>
      <w:r>
        <w:t xml:space="preserve"> </w:t>
      </w:r>
      <w:r>
        <w:t xml:space="preserve">for deals over $1M/year.</w:t>
      </w:r>
      <w:r>
        <w:t xml:space="preserve"> </w:t>
      </w:r>
      <w:r>
        <w:t xml:space="preserve">We are approving the</w:t>
      </w:r>
      <w:r>
        <w:t xml:space="preserve"> </w:t>
      </w:r>
      <w:r>
        <w:rPr>
          <w:b/>
          <w:bCs/>
        </w:rPr>
        <w:t xml:space="preserve">30% strategic discount</w:t>
      </w:r>
      <w:r>
        <w:t xml:space="preserve"> </w:t>
      </w:r>
      <w:r>
        <w:t xml:space="preserve">— our ceiling — on the</w:t>
      </w:r>
      <w:r>
        <w:t xml:space="preserve"> </w:t>
      </w:r>
      <w:r>
        <w:t xml:space="preserve">strength of: (a) a 3-year committed initial term, (b) Acme’s fit as a named</w:t>
      </w:r>
      <w:r>
        <w:t xml:space="preserve"> </w:t>
      </w:r>
      <w:r>
        <w:t xml:space="preserve">reference account in our target industrial/IoT vertical, and (c) competitive</w:t>
      </w:r>
      <w:r>
        <w:t xml:space="preserve"> </w:t>
      </w:r>
      <w:r>
        <w:t xml:space="preserve">displacement of Databricks/Snowflake/Microsoft Fabric. We are not able to go</w:t>
      </w:r>
      <w:r>
        <w:t xml:space="preserve"> </w:t>
      </w:r>
      <w:r>
        <w:t xml:space="preserve">to 35%; see the counter-position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At 30% strategic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(base only, 99.95% SLA)</w:t>
            </w:r>
          </w:p>
        </w:tc>
        <w:tc>
          <w:tcPr/>
          <w:p>
            <w:pPr>
              <w:pStyle w:val="Compact"/>
            </w:pPr>
            <w:r>
              <w:t xml:space="preserve">$720,000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(with 99.99% SLA add-on)</w:t>
            </w:r>
          </w:p>
        </w:tc>
        <w:tc>
          <w:tcPr/>
          <w:p>
            <w:pPr>
              <w:pStyle w:val="Compact"/>
            </w:pPr>
            <w:r>
              <w:t xml:space="preserve">$820,000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$574,000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5-year fixed pricing, no escalators</w:t>
      </w:r>
      <w:r>
        <w:t xml:space="preserve"> </w:t>
      </w:r>
      <w:r>
        <w:t xml:space="preserve">(per RFP §3.1): we can commit to this</w:t>
      </w:r>
      <w:r>
        <w:t xml:space="preserve"> </w:t>
      </w:r>
      <w:r>
        <w:t xml:space="preserve">— years 1–3 initial term and the 2-year renewal option —</w:t>
      </w:r>
      <w:r>
        <w:t xml:space="preserve"> </w:t>
      </w:r>
      <w:r>
        <w:rPr>
          <w:b/>
          <w:bCs/>
        </w:rPr>
        <w:t xml:space="preserve">at the base 99.95%</w:t>
      </w:r>
      <w:r>
        <w:rPr>
          <w:b/>
          <w:bCs/>
        </w:rPr>
        <w:t xml:space="preserve"> </w:t>
      </w:r>
      <w:r>
        <w:rPr>
          <w:b/>
          <w:bCs/>
        </w:rPr>
        <w:t xml:space="preserve">SLA figure of $504,000/year, fixed, $2,520,000 over 5 years</w:t>
      </w:r>
      <w:r>
        <w:t xml:space="preserve">, or</w:t>
      </w:r>
      <w:r>
        <w:t xml:space="preserve"> </w:t>
      </w:r>
      <w:r>
        <w:rPr>
          <w:b/>
          <w:bCs/>
        </w:rPr>
        <w:t xml:space="preserve">$574,000/year fixed, $2,870,000 over 5 years</w:t>
      </w:r>
      <w:r>
        <w:t xml:space="preserve"> </w:t>
      </w:r>
      <w:r>
        <w:t xml:space="preserve">if the 99.99% SLA add-on is</w:t>
      </w:r>
      <w:r>
        <w:t xml:space="preserve"> </w:t>
      </w:r>
      <w:r>
        <w:t xml:space="preserve">selected. In exchange for holding price flat across the full horizon with no</w:t>
      </w:r>
      <w:r>
        <w:t xml:space="preserve"> </w:t>
      </w:r>
      <w:r>
        <w:t xml:space="preserve">CPI escalator, we ask for a standard</w:t>
      </w:r>
      <w:r>
        <w:t xml:space="preserve"> </w:t>
      </w:r>
      <w:r>
        <w:rPr>
          <w:b/>
          <w:bCs/>
        </w:rPr>
        <w:t xml:space="preserve">year-end volume true-up with a 10%</w:t>
      </w:r>
      <w:r>
        <w:rPr>
          <w:b/>
          <w:bCs/>
        </w:rP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above committed volume (no true-up owed unless usage exceeds the</w:t>
      </w:r>
      <w:r>
        <w:t xml:space="preserve"> </w:t>
      </w:r>
      <w:r>
        <w:t xml:space="preserve">buffer) — this simply protects both sides against a step-change in usage that</w:t>
      </w:r>
      <w:r>
        <w:t xml:space="preserve"> </w:t>
      </w:r>
      <w:r>
        <w:t xml:space="preserve">neither of us can price today.</w:t>
      </w:r>
    </w:p>
    <w:p>
      <w:pPr>
        <w:pStyle w:val="BlockText"/>
      </w:pPr>
      <w:r>
        <w:rPr>
          <w:b/>
          <w:bCs/>
        </w:rPr>
        <w:t xml:space="preserve">Counter-position on the 35% discount ask:</w:t>
      </w:r>
      <w:r>
        <w:t xml:space="preserve"> </w:t>
      </w:r>
      <w:r>
        <w:t xml:space="preserve">30% is the top of our approved</w:t>
      </w:r>
      <w:r>
        <w:t xml:space="preserve"> </w:t>
      </w:r>
      <w:r>
        <w:t xml:space="preserve">band for deals of this size; 35% is below our cost-to-serve at this scale</w:t>
      </w:r>
      <w:r>
        <w:t xml:space="preserve"> </w:t>
      </w:r>
      <w:r>
        <w:t xml:space="preserve">once support, infrastructure, and account management are factored in. We</w:t>
      </w:r>
      <w:r>
        <w:t xml:space="preserve"> </w:t>
      </w:r>
      <w:r>
        <w:t xml:space="preserve">would rather hold a sustainable 30% and over-deliver on TCO and reference</w:t>
      </w:r>
      <w:r>
        <w:t xml:space="preserve"> </w:t>
      </w:r>
      <w:r>
        <w:t xml:space="preserve">value than commit to a number we can’t stand behind for five years.</w:t>
      </w:r>
    </w:p>
    <w:bookmarkEnd w:id="16"/>
    <w:bookmarkStart w:id="17" w:name="payment-terms"/>
    <w:p>
      <w:pPr>
        <w:pStyle w:val="Heading2"/>
      </w:pPr>
      <w:r>
        <w:t xml:space="preserve">2. Payment terms</w:t>
      </w:r>
    </w:p>
    <w:p>
      <w:pPr>
        <w:pStyle w:val="FirstParagraph"/>
      </w:pPr>
      <w:r>
        <w:t xml:space="preserve">RFP §3.2 requests annual-in-advance billing, Net 90. We can do annual in</w:t>
      </w:r>
      <w:r>
        <w:t xml:space="preserve"> </w:t>
      </w:r>
      <w:r>
        <w:t xml:space="preserve">advance;</w:t>
      </w:r>
      <w:r>
        <w:t xml:space="preserve"> </w:t>
      </w:r>
      <w:r>
        <w:rPr>
          <w:b/>
          <w:bCs/>
        </w:rPr>
        <w:t xml:space="preserve">Net 90 is outside terms our finance team can extend</w:t>
      </w:r>
      <w:r>
        <w:t xml:space="preserve">. We propose</w:t>
      </w:r>
      <w:r>
        <w:t xml:space="preserve"> </w:t>
      </w:r>
      <w:r>
        <w:rPr>
          <w:b/>
          <w:bCs/>
        </w:rPr>
        <w:t xml:space="preserve">Net 60</w:t>
      </w:r>
      <w:r>
        <w:t xml:space="preserve">, which we extend to Fortune-500-scale customers with strong credit</w:t>
      </w:r>
      <w:r>
        <w:t xml:space="preserve"> </w:t>
      </w:r>
      <w:r>
        <w:t xml:space="preserve">— a bracket Acme (~$1.4B revenue) qualifies for.</w:t>
      </w:r>
    </w:p>
    <w:bookmarkEnd w:id="17"/>
    <w:bookmarkStart w:id="18" w:name="contractual-terms-our-counter-positions"/>
    <w:p>
      <w:pPr>
        <w:pStyle w:val="Heading2"/>
      </w:pPr>
      <w:r>
        <w:t xml:space="preserve">3. Contractual terms — our counter-positions</w:t>
      </w:r>
    </w:p>
    <w:p>
      <w:pPr>
        <w:pStyle w:val="FirstParagraph"/>
      </w:pPr>
      <w:r>
        <w:t xml:space="preserve">Acme’s draft terms (RFP §4) contain several items that conflict with</w:t>
      </w:r>
      <w:r>
        <w:t xml:space="preserve"> </w:t>
      </w:r>
      <w:r>
        <w:t xml:space="preserve">positions our legal and insurance teams hold firm on. We flag each with</w:t>
      </w:r>
      <w:r>
        <w:t xml:space="preserve"> </w:t>
      </w:r>
      <w:r>
        <w:t xml:space="preserve">severity and a specific counter — full detail is in the internal risk</w:t>
      </w:r>
      <w:r>
        <w:t xml:space="preserve"> </w:t>
      </w:r>
      <w:r>
        <w:t xml:space="preserve">memo (not for customer distribution); the customer-facing summary is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RFP term</w:t>
            </w:r>
          </w:p>
        </w:tc>
        <w:tc>
          <w:tcPr/>
          <w:p>
            <w:pPr>
              <w:pStyle w:val="Compact"/>
            </w:pPr>
            <w:r>
              <w:t xml:space="preserve">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§3.4 Most-Favoured-Nation pricing warranty</w:t>
            </w:r>
          </w:p>
        </w:tc>
        <w:tc>
          <w:tcPr/>
          <w:p>
            <w:pPr>
              <w:pStyle w:val="Compact"/>
            </w:pPr>
            <w:r>
              <w:t xml:space="preserve">We do not offer MFN terms to any customer, at any deal size — this is a firm no across our entire customer base, not specific to Acme.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Uncapped liability for data breach, incl. indemnification for regulatory fines</w:t>
            </w:r>
          </w:p>
        </w:tc>
        <w:tc>
          <w:tcPr/>
          <w:p>
            <w:pPr>
              <w:pStyle w:val="Compact"/>
            </w:pPr>
            <w:r>
              <w:t xml:space="preserve">We propose liability capped at</w:t>
            </w:r>
            <w:r>
              <w:t xml:space="preserve"> </w:t>
            </w:r>
            <w:r>
              <w:rPr>
                <w:b/>
                <w:bCs/>
              </w:rPr>
              <w:t xml:space="preserve">24 months of fees paid</w:t>
            </w:r>
            <w:r>
              <w:t xml:space="preserve">, with mutual carve-outs for gross negligence and IP infringement — our standard structure, and the maximum our cyber policy will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Audit without notice, up to 4x/year, vendor pays</w:t>
            </w:r>
          </w:p>
        </w:tc>
        <w:tc>
          <w:tcPr/>
          <w:p>
            <w:pPr>
              <w:pStyle w:val="Compact"/>
            </w:pPr>
            <w:r>
              <w:t xml:space="preserve">We propose</w:t>
            </w:r>
            <w:r>
              <w:t xml:space="preserve"> </w:t>
            </w:r>
            <w:r>
              <w:rPr>
                <w:b/>
                <w:bCs/>
              </w:rPr>
              <w:t xml:space="preserve">one audit per year included, with 30 days’ notice</w:t>
            </w:r>
            <w:r>
              <w:t xml:space="preserve">; additional audits available at Acme’s cost with the same notice period. Unannounced audits are not something any of our customers, including regulated ones, require of us today.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99.99% uptime with immediate termination on any SLA miss and full monthly refund</w:t>
            </w:r>
          </w:p>
        </w:tc>
        <w:tc>
          <w:tcPr/>
          <w:p>
            <w:pPr>
              <w:pStyle w:val="Compact"/>
            </w:pPr>
            <w:r>
              <w:t xml:space="preserve">We propose our standard</w:t>
            </w:r>
            <w:r>
              <w:t xml:space="preserve"> </w:t>
            </w:r>
            <w:r>
              <w:rPr>
                <w:b/>
                <w:bCs/>
              </w:rPr>
              <w:t xml:space="preserve">99.95% SLA (99.99% available as the priced add-on above)</w:t>
            </w:r>
            <w:r>
              <w:t xml:space="preserve">, with service credits up to 30% of the affected month’s fees as the sole remedy for an SLA miss, and termination rights reserved for repeated or material breach rather than any single miss.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All work product vests in Acme on creation</w:t>
            </w:r>
          </w:p>
        </w:tc>
        <w:tc>
          <w:tcPr/>
          <w:p>
            <w:pPr>
              <w:pStyle w:val="Compact"/>
            </w:pPr>
            <w:r>
              <w:t xml:space="preserve">We propose our standard model:</w:t>
            </w:r>
            <w:r>
              <w:t xml:space="preserve"> </w:t>
            </w:r>
            <w:r>
              <w:rPr>
                <w:b/>
                <w:bCs/>
              </w:rPr>
              <w:t xml:space="preserve">Acme’s data is always Acme’s</w:t>
            </w:r>
            <w:r>
              <w:t xml:space="preserve">; custom configurations/integrations we build are</w:t>
            </w:r>
            <w:r>
              <w:t xml:space="preserve"> </w:t>
            </w:r>
            <w:r>
              <w:rPr>
                <w:b/>
                <w:bCs/>
              </w:rPr>
              <w:t xml:space="preserve">licensed to Acme, not assigned</w:t>
            </w:r>
            <w:r>
              <w:t xml:space="preserve"> </w:t>
            </w:r>
            <w:r>
              <w:t xml:space="preserve">— with a broad, perpetual licence-back of any derivative work, the same structure we used successfully with a comparable large industrial customer.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Prior written consent for any subprocessor, withholdable at Acme’s sole discretion</w:t>
            </w:r>
          </w:p>
        </w:tc>
        <w:tc>
          <w:tcPr/>
          <w:p>
            <w:pPr>
              <w:pStyle w:val="Compact"/>
            </w:pPr>
            <w:r>
              <w:t xml:space="preserve">We propose our standard</w:t>
            </w:r>
            <w:r>
              <w:t xml:space="preserve"> </w:t>
            </w:r>
            <w:r>
              <w:rPr>
                <w:b/>
                <w:bCs/>
              </w:rPr>
              <w:t xml:space="preserve">30-day advance notice with a right to object</w:t>
            </w:r>
            <w:r>
              <w:t xml:space="preserve">; if Acme objects we will substitute the subprocessor or, if we cannot, Acme may terminate the affected service without penalty.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§3.5 Termination at any time, with or without cause, on 30 days’ notice</w:t>
            </w:r>
          </w:p>
        </w:tc>
        <w:tc>
          <w:tcPr/>
          <w:p>
            <w:pPr>
              <w:pStyle w:val="Compact"/>
            </w:pPr>
            <w:r>
              <w:t xml:space="preserve">We propose</w:t>
            </w:r>
            <w:r>
              <w:t xml:space="preserve"> </w:t>
            </w:r>
            <w:r>
              <w:rPr>
                <w:b/>
                <w:bCs/>
              </w:rPr>
              <w:t xml:space="preserve">mutual termination for convenience on 90 days’ notice</w:t>
            </w:r>
            <w:r>
              <w:t xml:space="preserve"> </w:t>
            </w:r>
            <w:r>
              <w:t xml:space="preserve">(or we can meet closer to Acme’s ask at 60 days as a negotiated midpoint), with fees refunded pro-rata for the unused period.</w:t>
            </w:r>
          </w:p>
        </w:tc>
      </w:tr>
    </w:tbl>
    <w:p>
      <w:pPr>
        <w:pStyle w:val="BodyText"/>
      </w:pPr>
      <w:r>
        <w:t xml:space="preserve">None of these counter-positions are unusual asks on our side — they reflect</w:t>
      </w:r>
      <w:r>
        <w:t xml:space="preserve"> </w:t>
      </w:r>
      <w:r>
        <w:t xml:space="preserve">terms we hold across our customer base, including comparably large accounts,</w:t>
      </w:r>
      <w:r>
        <w:t xml:space="preserve"> </w:t>
      </w:r>
      <w:r>
        <w:t xml:space="preserve">and we’re glad to walk Acme’s legal team through the reasoning on a call.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proposal is commercial-in-confidence between BTS-Synthetic and Acme</w:t>
      </w:r>
      <w:r>
        <w:rPr>
          <w:i/>
          <w:iCs/>
        </w:rPr>
        <w:t xml:space="preserve"> </w:t>
      </w:r>
      <w:r>
        <w:rPr>
          <w:i/>
          <w:iCs/>
        </w:rPr>
        <w:t xml:space="preserve">Corp. Prepared 2026-05-23 in response to the RFP issued 2026-05-12</w:t>
      </w:r>
      <w:r>
        <w:rPr>
          <w:i/>
          <w:iCs/>
        </w:rPr>
        <w:t xml:space="preserve"> </w:t>
      </w:r>
      <w:r>
        <w:rPr>
          <w:i/>
          <w:iCs/>
        </w:rPr>
        <w:t xml:space="preserve">(response due 2026-05-26).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BTS-Synthetic Enterprise Data Platform — Proposal for Acme Corp</dc:title>
  <dc:creator>Prepared for Sarah Chen (VP Procurement) and Marcus Webb (CDO), Acme Corp</dc:creator>
  <cp:keywords/>
  <dcterms:created xsi:type="dcterms:W3CDTF">2026-07-06T02:14:37Z</dcterms:created>
  <dcterms:modified xsi:type="dcterms:W3CDTF">2026-07-06T02:14:37Z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2026-05-23</vt:lpwstr>
  </property>
</Properties>
</file>