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25cb523b980a2b420585a7f9ea119d8a810905c"/>
    <w:p>
      <w:pPr>
        <w:pStyle w:val="Heading1"/>
      </w:pPr>
      <w:r>
        <w:t xml:space="preserve">Proposal Response: Enterprise Data Platform for Acme Corp</w:t>
      </w:r>
    </w:p>
    <w:p>
      <w:pPr>
        <w:pStyle w:val="FirstParagraph"/>
      </w:pPr>
      <w:r>
        <w:rPr>
          <w:b/>
          <w:bCs/>
        </w:rPr>
        <w:t xml:space="preserve">Prepared for:</w:t>
      </w:r>
      <w:r>
        <w:t xml:space="preserve"> </w:t>
      </w:r>
      <w:r>
        <w:t xml:space="preserve">Acme Corp Procurement Office (Sarah Chen, VP Procurement; Marcus Webb, Chief Data Officer)</w:t>
      </w:r>
      <w:r>
        <w:t xml:space="preserve"> </w:t>
      </w:r>
      <w:r>
        <w:rPr>
          <w:b/>
          <w:bCs/>
        </w:rPr>
        <w:t xml:space="preserve">Prepared by:</w:t>
      </w:r>
      <w:r>
        <w:t xml:space="preserve"> </w:t>
      </w:r>
      <w:r>
        <w:t xml:space="preserve">BTS-Synthetic</w:t>
      </w:r>
      <w:r>
        <w:t xml:space="preserve"> </w:t>
      </w:r>
      <w:r>
        <w:rPr>
          <w:b/>
          <w:bCs/>
        </w:rPr>
        <w:t xml:space="preserve">Date:</w:t>
      </w:r>
      <w:r>
        <w:t xml:space="preserve"> </w:t>
      </w:r>
      <w:r>
        <w:t xml:space="preserve">2026-05-26</w:t>
      </w:r>
      <w:r>
        <w:t xml:space="preserve"> </w:t>
      </w:r>
      <w:r>
        <w:rPr>
          <w:b/>
          <w:bCs/>
        </w:rPr>
        <w:t xml:space="preserve">In response to:</w:t>
      </w:r>
      <w:r>
        <w:t xml:space="preserve"> </w:t>
      </w:r>
      <w:r>
        <w:t xml:space="preserve">RFP issued 2026-05-12, response due 2026-05-26</w:t>
      </w:r>
    </w:p>
    <w:p>
      <w:r>
        <w:pict>
          <v:rect style="width:0;height:1.5pt" o:hralign="center" o:hrstd="t" o:hr="t"/>
        </w:pict>
      </w:r>
    </w:p>
    <w:bookmarkStart w:id="9" w:name="executive-summary"/>
    <w:p>
      <w:pPr>
        <w:pStyle w:val="Heading2"/>
      </w:pPr>
      <w:r>
        <w:t xml:space="preserve">Executive Summary</w:t>
      </w:r>
    </w:p>
    <w:p>
      <w:pPr>
        <w:pStyle w:val="Compact"/>
        <w:numPr>
          <w:ilvl w:val="0"/>
          <w:numId w:val="1001"/>
        </w:numPr>
      </w:pPr>
      <w:r>
        <w:rPr>
          <w:b/>
          <w:bCs/>
        </w:rPr>
        <w:t xml:space="preserve">Strong functional fit.</w:t>
      </w:r>
      <w:r>
        <w:t xml:space="preserve"> </w:t>
      </w:r>
      <w:r>
        <w:t xml:space="preserve">Our lakehouse platform natively covers every workload in your RFP — 40,000-device real-time IoT ingest, 30+ source batch ETL, self-service prep for your data engineering team, and BI/reporting for 600 analysts on Power BI, our most mature and deeply integrated BI partnership (dedicated DirectQuery adapter). Open formats (Parquet, Delta, Iceberg) and per-table EU data residency are native, not bolted on.</w:t>
      </w:r>
    </w:p>
    <w:p>
      <w:pPr>
        <w:pStyle w:val="Compact"/>
        <w:numPr>
          <w:ilvl w:val="0"/>
          <w:numId w:val="1001"/>
        </w:numPr>
      </w:pPr>
      <w:r>
        <w:rPr>
          <w:b/>
          <w:bCs/>
        </w:rPr>
        <w:t xml:space="preserve">A commercial structure built around your actual 5-year TCO</w:t>
      </w:r>
      <w:r>
        <w:t xml:space="preserve">, not a headline discount number — reflecting how we’ve won comparable industrial/IoT accounts at your scale.</w:t>
      </w:r>
    </w:p>
    <w:p>
      <w:pPr>
        <w:pStyle w:val="Compact"/>
        <w:numPr>
          <w:ilvl w:val="0"/>
          <w:numId w:val="1001"/>
        </w:numPr>
      </w:pPr>
      <w:r>
        <w:rPr>
          <w:b/>
          <w:bCs/>
        </w:rPr>
        <w:t xml:space="preserve">A contracting approach that gets you to signature faster</w:t>
      </w:r>
      <w:r>
        <w:t xml:space="preserve"> </w:t>
      </w:r>
      <w:r>
        <w:t xml:space="preserve">by proposing enterprise-standard terms up front on liability, audit, IP, and SLA remedies, rather than a long back-and-forth on positions neither side will ultimately hold.</w:t>
      </w:r>
    </w:p>
    <w:p>
      <w:pPr>
        <w:pStyle w:val="FirstParagraph"/>
      </w:pPr>
      <w:r>
        <w:t xml:space="preserve">We are confident this is a strong strategic fit for Acme, and we want to get this deal done on terms that hold up for both sides across the full 5-year horizon.</w:t>
      </w:r>
    </w:p>
    <w:p>
      <w:r>
        <w:pict>
          <v:rect style="width:0;height:1.5pt" o:hralign="center" o:hrstd="t" o:hr="t"/>
        </w:pict>
      </w:r>
    </w:p>
    <w:bookmarkEnd w:id="9"/>
    <w:bookmarkStart w:id="10" w:name="our-understanding-of-your-need"/>
    <w:p>
      <w:pPr>
        <w:pStyle w:val="Heading2"/>
      </w:pPr>
      <w:r>
        <w:t xml:space="preserve">Our Understanding of Your Need</w:t>
      </w:r>
    </w:p>
    <w:p>
      <w:pPr>
        <w:pStyle w:val="FirstParagraph"/>
      </w:pPr>
      <w:r>
        <w:t xml:space="preserve">Acme is migrating off a patchwork of on-premises Teradata warehouses and ad-hoc cloud analytics onto a single enterprise data platform, to be substantially complete by 2027. The platform needs to simultaneously serve:</w:t>
      </w:r>
    </w:p>
    <w:p>
      <w:pPr>
        <w:pStyle w:val="Compact"/>
        <w:numPr>
          <w:ilvl w:val="0"/>
          <w:numId w:val="1002"/>
        </w:numPr>
      </w:pPr>
      <w:r>
        <w:t xml:space="preserve">Real-time ingest from ~40,000 field IoT devices, peaking at 80,000 events/second</w:t>
      </w:r>
    </w:p>
    <w:p>
      <w:pPr>
        <w:pStyle w:val="Compact"/>
        <w:numPr>
          <w:ilvl w:val="0"/>
          <w:numId w:val="1002"/>
        </w:numPr>
      </w:pPr>
      <w:r>
        <w:t xml:space="preserve">Batch ETL from 30+ internal systems</w:t>
      </w:r>
    </w:p>
    <w:p>
      <w:pPr>
        <w:pStyle w:val="Compact"/>
        <w:numPr>
          <w:ilvl w:val="0"/>
          <w:numId w:val="1002"/>
        </w:numPr>
      </w:pPr>
      <w:r>
        <w:t xml:space="preserve">BI and reporting for ~600 analysts and executives, overwhelmingly through Power BI</w:t>
      </w:r>
    </w:p>
    <w:p>
      <w:pPr>
        <w:pStyle w:val="Compact"/>
        <w:numPr>
          <w:ilvl w:val="0"/>
          <w:numId w:val="1002"/>
        </w:numPr>
      </w:pPr>
      <w:r>
        <w:t xml:space="preserve">Self-service data preparation for ~150 data engineers</w:t>
      </w:r>
    </w:p>
    <w:p>
      <w:pPr>
        <w:pStyle w:val="Compact"/>
        <w:numPr>
          <w:ilvl w:val="0"/>
          <w:numId w:val="1002"/>
        </w:numPr>
      </w:pPr>
      <w:r>
        <w:t xml:space="preserve">A forward-looking machine learning capability for predictive maintenance, not yet active but clearly on your roadmap</w:t>
      </w:r>
    </w:p>
    <w:p>
      <w:pPr>
        <w:pStyle w:val="FirstParagraph"/>
      </w:pPr>
      <w:r>
        <w:t xml:space="preserve">You operate as a global, Azure-native organization across 18 countries, with EU and US operations subject to data residency requirements, and you’ve been explicit that Power BI integration and open, portable file formats are non-negotiable. You are evaluating this alongside Databricks, Snowflake, and Microsoft Fabric, and weighing functional fit, commercial terms, TCO, implementation risk, and vendor stability.</w:t>
      </w:r>
    </w:p>
    <w:p>
      <w:r>
        <w:pict>
          <v:rect style="width:0;height:1.5pt" o:hralign="center" o:hrstd="t" o:hr="t"/>
        </w:pict>
      </w:r>
    </w:p>
    <w:bookmarkEnd w:id="10"/>
    <w:bookmarkStart w:id="11" w:name="why-were-the-right-fit"/>
    <w:p>
      <w:pPr>
        <w:pStyle w:val="Heading2"/>
      </w:pPr>
      <w:r>
        <w:t xml:space="preserve">Why We’re the Right Fit</w:t>
      </w:r>
    </w:p>
    <w:p>
      <w:pPr>
        <w:pStyle w:val="FirstParagraph"/>
      </w:pPr>
      <w:r>
        <w:rPr>
          <w:b/>
          <w:bCs/>
        </w:rPr>
        <w:t xml:space="preserve">Overall technical fit: High.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Our position</w:t>
            </w:r>
          </w:p>
        </w:tc>
      </w:tr>
      <w:tr>
        <w:tc>
          <w:tcPr/>
          <w:p>
            <w:pPr>
              <w:pStyle w:val="Compact"/>
            </w:pPr>
            <w:r>
              <w:t xml:space="preserve">Lakehouse, open formats (Parquet/Delta/Iceberg)</w:t>
            </w:r>
          </w:p>
        </w:tc>
        <w:tc>
          <w:tcPr/>
          <w:p>
            <w:pPr>
              <w:pStyle w:val="Compact"/>
            </w:pPr>
            <w:r>
              <w:t xml:space="preserve">Native core architecture</w:t>
            </w:r>
          </w:p>
        </w:tc>
      </w:tr>
      <w:tr>
        <w:tc>
          <w:tcPr/>
          <w:p>
            <w:pPr>
              <w:pStyle w:val="Compact"/>
            </w:pPr>
            <w:r>
              <w:t xml:space="preserve">Real-time ingest, 80,000 events/sec peak</w:t>
            </w:r>
          </w:p>
        </w:tc>
        <w:tc>
          <w:tcPr/>
          <w:p>
            <w:pPr>
              <w:pStyle w:val="Compact"/>
            </w:pPr>
            <w:r>
              <w:t xml:space="preserve">Tested to 250,000 events/sec — 3x your peak, with headroom for growth</w:t>
            </w:r>
          </w:p>
        </w:tc>
      </w:tr>
      <w:tr>
        <w:tc>
          <w:tcPr/>
          <w:p>
            <w:pPr>
              <w:pStyle w:val="Compact"/>
            </w:pPr>
            <w:r>
              <w:t xml:space="preserve">Native Power BI (your stated non-negotiable)</w:t>
            </w:r>
          </w:p>
        </w:tc>
        <w:tc>
          <w:tcPr/>
          <w:p>
            <w:pPr>
              <w:pStyle w:val="Compact"/>
            </w:pPr>
            <w:r>
              <w:t xml:space="preserve">Our most mature BI integration, with a dedicated DirectQuery adapter</w:t>
            </w:r>
          </w:p>
        </w:tc>
      </w:tr>
      <w:tr>
        <w:tc>
          <w:tcPr/>
          <w:p>
            <w:pPr>
              <w:pStyle w:val="Compact"/>
            </w:pPr>
            <w:r>
              <w:t xml:space="preserve">Batch ETL, 30+ sources</w:t>
            </w:r>
          </w:p>
        </w:tc>
        <w:tc>
          <w:tcPr/>
          <w:p>
            <w:pPr>
              <w:pStyle w:val="Compact"/>
            </w:pPr>
            <w:r>
              <w:t xml:space="preserve">80+ connectors out of the box</w:t>
            </w:r>
          </w:p>
        </w:tc>
      </w:tr>
      <w:tr>
        <w:tc>
          <w:tcPr/>
          <w:p>
            <w:pPr>
              <w:pStyle w:val="Compact"/>
            </w:pPr>
            <w:r>
              <w:t xml:space="preserve">EU data residency, multi-region (EU primary, US secondary)</w:t>
            </w:r>
          </w:p>
        </w:tc>
        <w:tc>
          <w:tcPr/>
          <w:p>
            <w:pPr>
              <w:pStyle w:val="Compact"/>
            </w:pPr>
            <w:r>
              <w:t xml:space="preserve">Native per-table residency pinning</w:t>
            </w:r>
          </w:p>
        </w:tc>
      </w:tr>
      <w:tr>
        <w:tc>
          <w:tcPr/>
          <w:p>
            <w:pPr>
              <w:pStyle w:val="Compact"/>
            </w:pPr>
            <w:r>
              <w:t xml:space="preserve">Self-service prep for 150 data engineers</w:t>
            </w:r>
          </w:p>
        </w:tc>
        <w:tc>
          <w:tcPr/>
          <w:p>
            <w:pPr>
              <w:pStyle w:val="Compact"/>
            </w:pPr>
            <w:r>
              <w:t xml:space="preserve">Purpose-built low-code prep UI</w:t>
            </w:r>
          </w:p>
        </w:tc>
      </w:tr>
      <w:tr>
        <w:tc>
          <w:tcPr/>
          <w:p>
            <w:pPr>
              <w:pStyle w:val="Compact"/>
            </w:pPr>
            <w:r>
              <w:t xml:space="preserve">ML pipelines for predictive maintenance</w:t>
            </w:r>
          </w:p>
        </w:tc>
        <w:tc>
          <w:tcPr/>
          <w:p>
            <w:pPr>
              <w:pStyle w:val="Compact"/>
            </w:pPr>
            <w:r>
              <w:t xml:space="preserve">Model registry, feature store, native model serving, and bring-your-own-model support ready today for when this workload goes live</w:t>
            </w:r>
          </w:p>
        </w:tc>
      </w:tr>
      <w:tr>
        <w:tc>
          <w:tcPr/>
          <w:p>
            <w:pPr>
              <w:pStyle w:val="Compact"/>
            </w:pPr>
            <w:r>
              <w:t xml:space="preserve">99.99% monthly uptime</w:t>
            </w:r>
          </w:p>
        </w:tc>
        <w:tc>
          <w:tcPr/>
          <w:p>
            <w:pPr>
              <w:pStyle w:val="Compact"/>
            </w:pPr>
            <w:r>
              <w:t xml:space="preserve">Available as a custom high-availability configuration (see Risks &amp; Mitigations)</w:t>
            </w:r>
          </w:p>
        </w:tc>
      </w:tr>
    </w:tbl>
    <w:p>
      <w:pPr>
        <w:pStyle w:val="BodyText"/>
      </w:pPr>
      <w:r>
        <w:t xml:space="preserve">Against a field that includes generalist lakehouse and warehouse vendors, we believe our advantage on this specific deal is the combination that matters most to Acme: production-grade Power BI performance at analyst scale, proven real-time ingest headroom well beyond your peak load, and a total cost of ownership model built for predictable 5-year planning rather than compute costs that scale unpredictably with streaming volume.</w:t>
      </w:r>
    </w:p>
    <w:p>
      <w:r>
        <w:pict>
          <v:rect style="width:0;height:1.5pt" o:hralign="center" o:hrstd="t" o:hr="t"/>
        </w:pict>
      </w:r>
    </w:p>
    <w:bookmarkEnd w:id="11"/>
    <w:bookmarkStart w:id="12" w:name="commercial-proposal"/>
    <w:p>
      <w:pPr>
        <w:pStyle w:val="Heading2"/>
      </w:pPr>
      <w:r>
        <w:t xml:space="preserve">Commercial Proposal</w:t>
      </w:r>
    </w:p>
    <w:p>
      <w:pPr>
        <w:pStyle w:val="FirstParagraph"/>
      </w:pPr>
      <w:r>
        <w:t xml:space="preserve">We’re proposing an Enterprise-tier agreement structured around your 3-year initial term with a repriceable 2-year renewal option:</w:t>
      </w:r>
    </w:p>
    <w:p>
      <w:pPr>
        <w:pStyle w:val="Compact"/>
        <w:numPr>
          <w:ilvl w:val="0"/>
          <w:numId w:val="1003"/>
        </w:numPr>
      </w:pPr>
      <w:r>
        <w:rPr>
          <w:b/>
          <w:bCs/>
        </w:rPr>
        <w:t xml:space="preserve">Discount:</w:t>
      </w:r>
      <w:r>
        <w:t xml:space="preserve"> </w:t>
      </w:r>
      <w:r>
        <w:t xml:space="preserve">We’re offering a significant discount off list, reflecting the scale and strategic value of this partnership, and we want to get there through a transparent 3-year total-cost-of-ownership comparison — the same approach that’s won us comparable industrial and IoT accounts — rather than a single headline percentage. We’re prepared to move meaningfully from list price and will finalize the number as part of final commercial discussion.</w:t>
      </w:r>
    </w:p>
    <w:p>
      <w:pPr>
        <w:pStyle w:val="Compact"/>
        <w:numPr>
          <w:ilvl w:val="0"/>
          <w:numId w:val="1003"/>
        </w:numPr>
      </w:pPr>
      <w:r>
        <w:rPr>
          <w:b/>
          <w:bCs/>
        </w:rPr>
        <w:t xml:space="preserve">Term structure:</w:t>
      </w:r>
      <w:r>
        <w:t xml:space="preserve"> </w:t>
      </w:r>
      <w:r>
        <w:t xml:space="preserve">3-year firm initial term, consistent with your RFP, with a 2-year renewal option. We propose pricing be fixed and guaranteed for the 3-year firm term; pricing for the 2-year renewal option would be confirmed prior to renewal, reflecting actual usage growth over the term (see volume note below) rather than fixed at signature today.</w:t>
      </w:r>
    </w:p>
    <w:p>
      <w:pPr>
        <w:pStyle w:val="Compact"/>
        <w:numPr>
          <w:ilvl w:val="0"/>
          <w:numId w:val="1003"/>
        </w:numPr>
      </w:pPr>
      <w:r>
        <w:rPr>
          <w:b/>
          <w:bCs/>
        </w:rPr>
        <w:t xml:space="preserve">Payment terms:</w:t>
      </w:r>
      <w:r>
        <w:t xml:space="preserve"> </w:t>
      </w:r>
      <w:r>
        <w:t xml:space="preserve">Annual billing in advance, as requested. We propose Net 60 rather than Net 90 — standard for engagements of this size and still well outside typical cash-flow-neutral terms for an organization of Acme’s scale.</w:t>
      </w:r>
    </w:p>
    <w:p>
      <w:pPr>
        <w:pStyle w:val="Compact"/>
        <w:numPr>
          <w:ilvl w:val="0"/>
          <w:numId w:val="1003"/>
        </w:numPr>
      </w:pPr>
      <w:r>
        <w:rPr>
          <w:b/>
          <w:bCs/>
        </w:rPr>
        <w:t xml:space="preserve">Volume flexibility:</w:t>
      </w:r>
      <w:r>
        <w:t xml:space="preserve"> </w:t>
      </w:r>
      <w:r>
        <w:t xml:space="preserve">Given your data volume is growing at roughly 12TB/month, we propose an annual volume true-up with a buffer, so pricing stays predictable even as your platform usage scales with the business.</w:t>
      </w:r>
    </w:p>
    <w:p>
      <w:pPr>
        <w:pStyle w:val="FirstParagraph"/>
      </w:pPr>
      <w:r>
        <w:t xml:space="preserve">Full five-year pricing transparency, including the renewal-year methodology, will be provided in the detailed commercial exhibit alongside this response.</w:t>
      </w:r>
    </w:p>
    <w:p>
      <w:r>
        <w:pict>
          <v:rect style="width:0;height:1.5pt" o:hralign="center" o:hrstd="t" o:hr="t"/>
        </w:pict>
      </w:r>
    </w:p>
    <w:bookmarkEnd w:id="12"/>
    <w:bookmarkStart w:id="13" w:name="contract-approach"/>
    <w:p>
      <w:pPr>
        <w:pStyle w:val="Heading2"/>
      </w:pPr>
      <w:r>
        <w:t xml:space="preserve">Contract Approach</w:t>
      </w:r>
    </w:p>
    <w:p>
      <w:pPr>
        <w:pStyle w:val="FirstParagraph"/>
      </w:pPr>
      <w:r>
        <w:t xml:space="preserve">We want to move quickly to a signed agreement, so we’re proposing enterprise-standard positions up front on the handful of terms in your RFP where our standard master agreement differs from what’s described, rather than surface them late in negotiation: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Our proposed position</w:t>
            </w:r>
          </w:p>
        </w:tc>
      </w:tr>
      <w:tr>
        <w:tc>
          <w:tcPr/>
          <w:p>
            <w:pPr>
              <w:pStyle w:val="Compact"/>
            </w:pPr>
            <w:r>
              <w:t xml:space="preserve">Liability &amp; indemnification</w:t>
            </w:r>
          </w:p>
        </w:tc>
        <w:tc>
          <w:tcPr/>
          <w:p>
            <w:pPr>
              <w:pStyle w:val="Compact"/>
            </w:pPr>
            <w:r>
              <w:t xml:space="preserve">Liability capped at 24 months of fees paid, with indemnification covering breach notification, forensics, and credit-monitoring costs</w:t>
            </w:r>
          </w:p>
        </w:tc>
      </w:tr>
      <w:tr>
        <w:tc>
          <w:tcPr/>
          <w:p>
            <w:pPr>
              <w:pStyle w:val="Compact"/>
            </w:pPr>
            <w:r>
              <w:t xml:space="preserve">Audit rights</w:t>
            </w:r>
          </w:p>
        </w:tc>
        <w:tc>
          <w:tcPr/>
          <w:p>
            <w:pPr>
              <w:pStyle w:val="Compact"/>
            </w:pPr>
            <w:r>
              <w:t xml:space="preserve">One audit per year, 30 days’ written notice; additional audits available at your cost</w:t>
            </w:r>
          </w:p>
        </w:tc>
      </w:tr>
      <w:tr>
        <w:tc>
          <w:tcPr/>
          <w:p>
            <w:pPr>
              <w:pStyle w:val="Compact"/>
            </w:pPr>
            <w:r>
              <w:t xml:space="preserve">Service levels</w:t>
            </w:r>
          </w:p>
        </w:tc>
        <w:tc>
          <w:tcPr/>
          <w:p>
            <w:pPr>
              <w:pStyle w:val="Compact"/>
            </w:pPr>
            <w:r>
              <w:t xml:space="preserve">99.95% standard Enterprise SLA, with a custom high-availability configuration available for 99.99% (see Risks &amp; Mitigations); service-level remedies via tiered service credits</w:t>
            </w:r>
          </w:p>
        </w:tc>
      </w:tr>
      <w:tr>
        <w:tc>
          <w:tcPr/>
          <w:p>
            <w:pPr>
              <w:pStyle w:val="Compact"/>
            </w:pPr>
            <w:r>
              <w:t xml:space="preserve">Intellectual property</w:t>
            </w:r>
          </w:p>
        </w:tc>
        <w:tc>
          <w:tcPr/>
          <w:p>
            <w:pPr>
              <w:pStyle w:val="Compact"/>
            </w:pPr>
            <w:r>
              <w:t xml:space="preserve">Your data always remains yours. Custom configurations, integrations, and reports built for Acme are licensed to you for the term (and a transition period after), while we retain ownership of the underlying platform — the same structure we’ve used successfully with other large enterprise customers who initially asked for full work-product assignment</w:t>
            </w:r>
          </w:p>
        </w:tc>
      </w:tr>
      <w:tr>
        <w:tc>
          <w:tcPr/>
          <w:p>
            <w:pPr>
              <w:pStyle w:val="Compact"/>
            </w:pPr>
            <w:r>
              <w:t xml:space="preserve">Subprocessors</w:t>
            </w:r>
          </w:p>
        </w:tc>
        <w:tc>
          <w:tcPr/>
          <w:p>
            <w:pPr>
              <w:pStyle w:val="Compact"/>
            </w:pPr>
            <w:r>
              <w:t xml:space="preserve">We maintain a public subprocessor list and notify you 30 days before adding any new subprocessor, with a right to object</w:t>
            </w:r>
          </w:p>
        </w:tc>
      </w:tr>
      <w:tr>
        <w:tc>
          <w:tcPr/>
          <w:p>
            <w:pPr>
              <w:pStyle w:val="Compact"/>
            </w:pPr>
            <w:r>
              <w:t xml:space="preserve">Termination</w:t>
            </w:r>
          </w:p>
        </w:tc>
        <w:tc>
          <w:tcPr/>
          <w:p>
            <w:pPr>
              <w:pStyle w:val="Compact"/>
            </w:pPr>
            <w:r>
              <w:t xml:space="preserve">Mutual right to terminate for convenience on 90 days’ written notice, with pro-rated refund for any prepaid, unused period</w:t>
            </w:r>
          </w:p>
        </w:tc>
      </w:tr>
      <w:tr>
        <w:tc>
          <w:tcPr/>
          <w:p>
            <w:pPr>
              <w:pStyle w:val="Compact"/>
            </w:pPr>
            <w:r>
              <w:t xml:space="preserve">Pricing warranty</w:t>
            </w:r>
          </w:p>
        </w:tc>
        <w:tc>
          <w:tcPr/>
          <w:p>
            <w:pPr>
              <w:pStyle w:val="Compact"/>
            </w:pPr>
            <w:r>
              <w:t xml:space="preserve">We do not offer most-favoured-nation pricing warranties as a matter of policy across our customer base; we instead commit to a fixed, transparent discount for the full term of your agreement</w:t>
            </w:r>
          </w:p>
        </w:tc>
      </w:tr>
    </w:tbl>
    <w:p>
      <w:pPr>
        <w:pStyle w:val="BodyText"/>
      </w:pPr>
      <w:r>
        <w:t xml:space="preserve">We believe these terms are workable for a partnership of this scale and duration, and our legal team is ready to move directly into markup of your draft MSA.</w:t>
      </w:r>
    </w:p>
    <w:p>
      <w:r>
        <w:pict>
          <v:rect style="width:0;height:1.5pt" o:hralign="center" o:hrstd="t" o:hr="t"/>
        </w:pict>
      </w:r>
    </w:p>
    <w:bookmarkEnd w:id="13"/>
    <w:bookmarkStart w:id="14" w:name="risks-mitigations"/>
    <w:p>
      <w:pPr>
        <w:pStyle w:val="Heading2"/>
      </w:pPr>
      <w:r>
        <w:t xml:space="preserve">Risks &amp; Mitigations</w:t>
      </w:r>
    </w:p>
    <w:p>
      <w:pPr>
        <w:pStyle w:val="FirstParagraph"/>
      </w:pPr>
      <w:r>
        <w:rPr>
          <w:b/>
          <w:bCs/>
        </w:rPr>
        <w:t xml:space="preserve">SLA tier vs. your 99.99% target.</w:t>
      </w:r>
      <w:r>
        <w:t xml:space="preserve"> </w:t>
      </w:r>
      <w:r>
        <w:t xml:space="preserve">Our standard Enterprise SLA is 99.95% monthly uptime. Reaching 99.99% requires a custom multi-region active-active configuration, available as an add-on we’re happy to scope and price as part of final commercial discussion. We’d recommend confirming which of your workloads genuinely require 99.99% (vs. 99.95%, which comfortably covers the large majority of enterprise BI and analytics use cases) so the configuration — and its cost — is matched to actual business need rather than applied platform-wide by default.</w:t>
      </w:r>
    </w:p>
    <w:p>
      <w:pPr>
        <w:pStyle w:val="BodyText"/>
      </w:pPr>
      <w:r>
        <w:rPr>
          <w:b/>
          <w:bCs/>
        </w:rPr>
        <w:t xml:space="preserve">Migration from Teradata.</w:t>
      </w:r>
      <w:r>
        <w:t xml:space="preserve"> </w:t>
      </w:r>
      <w:r>
        <w:t xml:space="preserve">Legacy warehouse migrations of this scale typically take 16 weeks for a full transition; we’d plan a phased cutover (starting with your highest-value workloads) so your 600 analysts see value well before the full migration completes, targeting first production workloads within 8 weeks.</w:t>
      </w:r>
    </w:p>
    <w:p>
      <w:pPr>
        <w:pStyle w:val="BodyText"/>
      </w:pPr>
      <w:r>
        <w:rPr>
          <w:b/>
          <w:bCs/>
        </w:rPr>
        <w:t xml:space="preserve">Real-time ingest at multi-region scale.</w:t>
      </w:r>
      <w:r>
        <w:t xml:space="preserve"> </w:t>
      </w:r>
      <w:r>
        <w:t xml:space="preserve">Our 250,000 events/second ceiling is validated for single-region deployments; because your architecture spans EU-primary and US-secondary regions, we’ll run a joint reference-architecture validation early in implementation to confirm sustained throughput at your specific 80,000 events/second peak across the multi-region topology, well ahead of go-live.</w:t>
      </w:r>
    </w:p>
    <w:p>
      <w:pPr>
        <w:pStyle w:val="BodyText"/>
      </w:pPr>
      <w:r>
        <w:rPr>
          <w:b/>
          <w:bCs/>
        </w:rPr>
        <w:t xml:space="preserve">Contract terms requiring alignment.</w:t>
      </w:r>
      <w:r>
        <w:t xml:space="preserve"> </w:t>
      </w:r>
      <w:r>
        <w:t xml:space="preserve">A small number of terms in your RFP (noted in Contract Approach above) differ from our standard agreement. We’ve proposed enterprise-standard alternatives that we believe protect both parties appropriately, and we’re ready to work through these promptly so they don’t become a bottleneck to your 2026-06-30 award timeline.</w:t>
      </w:r>
    </w:p>
    <w:p>
      <w:r>
        <w:pict>
          <v:rect style="width:0;height:1.5pt" o:hralign="center" o:hrstd="t" o:hr="t"/>
        </w:pict>
      </w:r>
    </w:p>
    <w:bookmarkEnd w:id="14"/>
    <w:bookmarkStart w:id="15" w:name="next-steps"/>
    <w:p>
      <w:pPr>
        <w:pStyle w:val="Heading2"/>
      </w:pPr>
      <w:r>
        <w:t xml:space="preserve">Next Steps</w:t>
      </w:r>
    </w:p>
    <w:p>
      <w:pPr>
        <w:pStyle w:val="FirstParagraph"/>
      </w:pPr>
      <w:r>
        <w:t xml:space="preserve">We’d welcome the opportunity to walk your team through this response, provide the three requested customer references (comparable scale, Power BI, Azure), and begin joint technical validation ahead of your award decision. Please direct any questions to your BTS-Synthetic account team.</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2026-07-05T19:10:46Z</dcterms:created>
  <dcterms:modified xsi:type="dcterms:W3CDTF">2026-07-05T19:10:46Z</dcterms:modified>
</cp:coreProperties>
</file>

<file path=docProps/custom.xml><?xml version="1.0" encoding="utf-8"?>
<Properties xmlns="http://schemas.openxmlformats.org/officeDocument/2006/custom-properties" xmlns:vt="http://schemas.openxmlformats.org/officeDocument/2006/docPropsVTypes"/>
</file>