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227095a1ff431ad3081919d1d126699fe90167"/>
    <w:p>
      <w:pPr>
        <w:pStyle w:val="Heading1"/>
      </w:pPr>
      <w:r>
        <w:t xml:space="preserve">BTS-Synthetic — Response to Acme Corp RFP: Enterprise Data Platform</w:t>
      </w:r>
    </w:p>
    <w:p>
      <w:pPr>
        <w:pStyle w:val="FirstParagraph"/>
      </w:pPr>
      <w:r>
        <w:rPr>
          <w:b/>
          <w:bCs/>
        </w:rPr>
        <w:t xml:space="preserve">Prepared for:</w:t>
      </w:r>
      <w:r>
        <w:t xml:space="preserve"> </w:t>
      </w:r>
      <w:r>
        <w:t xml:space="preserve">Sarah Chen, VP Procurement / Marcus Webb, Chief Data Officer — Acme Corp</w:t>
      </w:r>
      <w:r>
        <w:t xml:space="preserve"> </w:t>
      </w:r>
      <w:r>
        <w:rPr>
          <w:b/>
          <w:bCs/>
        </w:rPr>
        <w:t xml:space="preserve">Prepared by:</w:t>
      </w:r>
      <w:r>
        <w:t xml:space="preserve"> </w:t>
      </w:r>
      <w:r>
        <w:t xml:space="preserve">BTS-Synthetic</w:t>
      </w:r>
      <w:r>
        <w:t xml:space="preserve"> </w:t>
      </w:r>
      <w:r>
        <w:rPr>
          <w:b/>
          <w:bCs/>
        </w:rPr>
        <w:t xml:space="preserve">Date:</w:t>
      </w:r>
      <w:r>
        <w:t xml:space="preserve"> </w:t>
      </w:r>
      <w:r>
        <w:t xml:space="preserve">2026-05-24</w:t>
      </w:r>
      <w:r>
        <w:t xml:space="preserve"> </w:t>
      </w:r>
      <w:r>
        <w:rPr>
          <w:b/>
          <w:bCs/>
        </w:rPr>
        <w:t xml:space="preserve">In response to:</w:t>
      </w:r>
      <w:r>
        <w:t xml:space="preserve"> </w:t>
      </w:r>
      <w:r>
        <w:t xml:space="preserve">RFP issued 2026-05-12, response due 2026-05-26</w:t>
      </w:r>
    </w:p>
    <w:p>
      <w:r>
        <w:pict>
          <v:rect style="width:0;height:1.5pt" o:hralign="center" o:hrstd="t" o:hr="t"/>
        </w:pict>
      </w:r>
    </w:p>
    <w:bookmarkStart w:id="9" w:name="executive-summary"/>
    <w:p>
      <w:pPr>
        <w:pStyle w:val="Heading2"/>
      </w:pPr>
      <w:r>
        <w:t xml:space="preserve">1. Executive Summary</w:t>
      </w:r>
    </w:p>
    <w:p>
      <w:pPr>
        <w:pStyle w:val="FirstParagraph"/>
      </w:pPr>
      <w:r>
        <w:t xml:space="preserve">Acme Corp is replacing a patchwork of on-premises Teradata warehouses and ad-hoc cloud analytics with a single enterprise data platform that can handle real-time ingest from 40,000 IoT devices, batch ETL from 30+ sources, BI for 600 analysts, self-service preparation for 150 data engineers, and a future predictive-maintenance ML program — all on a Microsoft/Azure-centric stack with EU data residency and a hard requirement for native Power BI.</w:t>
      </w:r>
    </w:p>
    <w:p>
      <w:pPr>
        <w:pStyle w:val="BodyText"/>
      </w:pPr>
      <w:r>
        <w:t xml:space="preserve">BTS-Synthetic proposes a</w:t>
      </w:r>
      <w:r>
        <w:t xml:space="preserve"> </w:t>
      </w:r>
      <w:r>
        <w:rPr>
          <w:b/>
          <w:bCs/>
        </w:rPr>
        <w:t xml:space="preserve">lakehouse platform, deployed across EU (primary) and US East (secondary) Azure regions</w:t>
      </w:r>
      <w:r>
        <w:t xml:space="preserve">, built on open formats (Delta, Iceberg, Parquet) with per-table data residency enforcement and our most mature BI integration — a dedicated Power BI DirectQuery adapter. We have delivered this exact profile before: industrial and IoT manufacturers moving off legacy warehouses onto a governed, real-time-capable lakehouse, most recently for Initech Sensors and Globex Manufacturing.</w:t>
      </w:r>
    </w:p>
    <w:p>
      <w:pPr>
        <w:pStyle w:val="BodyText"/>
      </w:pPr>
      <w:r>
        <w:t xml:space="preserve">Our commercial proposal reflects a genuine 5-year partnership: a fixed price for the initial 3-year term, a pre-agreed (not open-ended) rate for the 2-year renewal, and a headline discount within the top of our enterprise strategic band. We are not able to meet every contractual term as drafted (notably uncapped liability, unrestricted IP assignment, and a 35% discount floor) — Section 5 sets out exactly where we align, where we propose an alternative, and why, so that negotiation can proceed quickly against a clear position.</w:t>
      </w:r>
    </w:p>
    <w:p>
      <w:pPr>
        <w:pStyle w:val="BodyText"/>
      </w:pPr>
      <w:r>
        <w:rPr>
          <w:b/>
          <w:bCs/>
        </w:rPr>
        <w:t xml:space="preserve">Recommendation to Acme:</w:t>
      </w:r>
      <w:r>
        <w:t xml:space="preserve"> </w:t>
      </w:r>
      <w:r>
        <w:t xml:space="preserve">proceed to technical validation and reference calls in parallel with the redline discussion in Section 5, so that the 2026-06-30 award date is not put at risk by contract terms that are resolvable in the first negotiation session.</w:t>
      </w:r>
    </w:p>
    <w:p>
      <w:r>
        <w:pict>
          <v:rect style="width:0;height:1.5pt" o:hralign="center" o:hrstd="t" o:hr="t"/>
        </w:pict>
      </w:r>
    </w:p>
    <w:bookmarkEnd w:id="9"/>
    <w:bookmarkStart w:id="10" w:name="our-understanding-of-acmes-needs"/>
    <w:p>
      <w:pPr>
        <w:pStyle w:val="Heading2"/>
      </w:pPr>
      <w:r>
        <w:t xml:space="preserve">2. Our Understanding of Acme’s Needs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Detail</w:t>
            </w:r>
          </w:p>
        </w:tc>
      </w:tr>
      <w:tr>
        <w:tc>
          <w:tcPr/>
          <w:p>
            <w:pPr>
              <w:pStyle w:val="Compact"/>
            </w:pPr>
            <w:r>
              <w:t xml:space="preserve">Business context</w:t>
            </w:r>
          </w:p>
        </w:tc>
        <w:tc>
          <w:tcPr/>
          <w:p>
            <w:pPr>
              <w:pStyle w:val="Compact"/>
            </w:pPr>
            <w:r>
              <w:t xml:space="preserve">$1.4B global industrial sensor/IoT manufacturer, 7,200 employees, 18 countries; decommissioning Teradata through 2027</w:t>
            </w:r>
          </w:p>
        </w:tc>
      </w:tr>
      <w:tr>
        <w:tc>
          <w:tcPr/>
          <w:p>
            <w:pPr>
              <w:pStyle w:val="Compact"/>
            </w:pPr>
            <w:r>
              <w:t xml:space="preserve">Workloads</w:t>
            </w:r>
          </w:p>
        </w:tc>
        <w:tc>
          <w:tcPr/>
          <w:p>
            <w:pPr>
              <w:pStyle w:val="Compact"/>
            </w:pPr>
            <w:r>
              <w:t xml:space="preserve">Real-time ingest (~40,000 devices, peak 80,000 events/sec), batch ETL (30+ sources), BI/reporting (600 analysts/execs), self-service prep (150 data engineers), predictive-maintenance ML (planned)</w:t>
            </w:r>
          </w:p>
        </w:tc>
      </w:tr>
      <w:tr>
        <w:tc>
          <w:tcPr/>
          <w:p>
            <w:pPr>
              <w:pStyle w:val="Compact"/>
            </w:pPr>
            <w:r>
              <w:t xml:space="preserve">Scale</w:t>
            </w:r>
          </w:p>
        </w:tc>
        <w:tc>
          <w:tcPr/>
          <w:p>
            <w:pPr>
              <w:pStyle w:val="Compact"/>
            </w:pPr>
            <w:r>
              <w:t xml:space="preserve">~280 TB today, ~12 TB/month growth</w:t>
            </w:r>
          </w:p>
        </w:tc>
      </w:tr>
      <w:tr>
        <w:tc>
          <w:tcPr/>
          <w:p>
            <w:pPr>
              <w:pStyle w:val="Compact"/>
            </w:pPr>
            <w:r>
              <w:t xml:space="preserve">Platform</w:t>
            </w:r>
          </w:p>
        </w:tc>
        <w:tc>
          <w:tcPr/>
          <w:p>
            <w:pPr>
              <w:pStyle w:val="Compact"/>
            </w:pPr>
            <w:r>
              <w:t xml:space="preserve">Microsoft/Azure-primary, non-negotiable native Power BI, multi-region (EU primary, US East secondary), EU data residency, lakehouse architecture, open formats</w:t>
            </w:r>
          </w:p>
        </w:tc>
      </w:tr>
      <w:tr>
        <w:tc>
          <w:tcPr/>
          <w:p>
            <w:pPr>
              <w:pStyle w:val="Compact"/>
            </w:pPr>
            <w:r>
              <w:t xml:space="preserve">Commercial</w:t>
            </w:r>
          </w:p>
        </w:tc>
        <w:tc>
          <w:tcPr/>
          <w:p>
            <w:pPr>
              <w:pStyle w:val="Compact"/>
            </w:pPr>
            <w:r>
              <w:t xml:space="preserve">3-year initial term + 2-year renewal, 5-year price certainty, ≥35% off list, Net 90, MFN, terminable for convenience on 30 days’ notice</w:t>
            </w:r>
          </w:p>
        </w:tc>
      </w:tr>
      <w:tr>
        <w:tc>
          <w:tcPr/>
          <w:p>
            <w:pPr>
              <w:pStyle w:val="Compact"/>
            </w:pPr>
            <w:r>
              <w:t xml:space="preserve">Contractual</w:t>
            </w:r>
          </w:p>
        </w:tc>
        <w:tc>
          <w:tcPr/>
          <w:p>
            <w:pPr>
              <w:pStyle w:val="Compact"/>
            </w:pPr>
            <w:r>
              <w:t xml:space="preserve">Uncapped breach liability, unannounced audits (4x/year, vendor-funded), 99.99% uptime with immediate termination on any miss, full IP assignment, subprocessor veto</w:t>
            </w:r>
          </w:p>
        </w:tc>
      </w:tr>
      <w:tr>
        <w:tc>
          <w:tcPr/>
          <w:p>
            <w:pPr>
              <w:pStyle w:val="Compact"/>
            </w:pPr>
            <w:r>
              <w:t xml:space="preserve">Evaluation</w:t>
            </w:r>
          </w:p>
        </w:tc>
        <w:tc>
          <w:tcPr/>
          <w:p>
            <w:pPr>
              <w:pStyle w:val="Compact"/>
            </w:pPr>
            <w:r>
              <w:t xml:space="preserve">Functional fit (30%), commercial terms (25%), 3+2-year TCO (20%), implementation timeline/risk (15%), vendor stability/references (10%)</w:t>
            </w:r>
          </w:p>
        </w:tc>
      </w:tr>
    </w:tbl>
    <w:p>
      <w:pPr>
        <w:pStyle w:val="BodyText"/>
      </w:pPr>
      <w:r>
        <w:t xml:space="preserve">We read this as a</w:t>
      </w:r>
      <w:r>
        <w:t xml:space="preserve"> </w:t>
      </w:r>
      <w:r>
        <w:rPr>
          <w:b/>
          <w:bCs/>
        </w:rPr>
        <w:t xml:space="preserve">TCO- and control-sensitive replacement project</w:t>
      </w:r>
      <w:r>
        <w:t xml:space="preserve">, not a greenfield build: Acme already knows what a legacy warehouse costs to run and is shopping for predictable, capped, all-in pricing over a genuine multi-year horizon, on a platform that won’t disrupt its 600-seat Power BI estate. Given Databricks, Snowflake, and Microsoft Fabric are also bidding, price transparency and a credible TCO argument will matter as much as raw capability.</w:t>
      </w:r>
    </w:p>
    <w:p>
      <w:r>
        <w:pict>
          <v:rect style="width:0;height:1.5pt" o:hralign="center" o:hrstd="t" o:hr="t"/>
        </w:pict>
      </w:r>
    </w:p>
    <w:bookmarkEnd w:id="10"/>
    <w:bookmarkStart w:id="14" w:name="why-bts-synthetic-is-the-right-fit"/>
    <w:p>
      <w:pPr>
        <w:pStyle w:val="Heading2"/>
      </w:pPr>
      <w:r>
        <w:t xml:space="preserve">3. Why BTS-Synthetic Is the Right Fit</w:t>
      </w:r>
    </w:p>
    <w:bookmarkStart w:id="11" w:name="functional-fit"/>
    <w:p>
      <w:pPr>
        <w:pStyle w:val="Heading3"/>
      </w:pPr>
      <w:r>
        <w:t xml:space="preserve">3.1 Functional fit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Acme requirement</w:t>
            </w:r>
          </w:p>
        </w:tc>
        <w:tc>
          <w:tcPr/>
          <w:p>
            <w:pPr>
              <w:pStyle w:val="Compact"/>
            </w:pPr>
            <w:r>
              <w:t xml:space="preserve">BTS-Synthetic capability</w:t>
            </w:r>
          </w:p>
        </w:tc>
        <w:tc>
          <w:tcPr/>
          <w:p>
            <w:pPr>
              <w:pStyle w:val="Compact"/>
            </w:pPr>
            <w:r>
              <w:t xml:space="preserve">Fit</w:t>
            </w:r>
          </w:p>
        </w:tc>
      </w:tr>
      <w:tr>
        <w:tc>
          <w:tcPr/>
          <w:p>
            <w:pPr>
              <w:pStyle w:val="Compact"/>
            </w:pPr>
            <w:r>
              <w:t xml:space="preserve">Real-time ingest, 80,000 events/sec peak</w:t>
            </w:r>
          </w:p>
        </w:tc>
        <w:tc>
          <w:tcPr/>
          <w:p>
            <w:pPr>
              <w:pStyle w:val="Compact"/>
            </w:pPr>
            <w:r>
              <w:t xml:space="preserve">Native Kafka/Kinesis streaming ingest, tested to 250,000 events/sec single-region</w:t>
            </w:r>
          </w:p>
        </w:tc>
        <w:tc>
          <w:tcPr/>
          <w:p>
            <w:pPr>
              <w:pStyle w:val="Compact"/>
            </w:pPr>
            <w:r>
              <w:t xml:space="preserve">Strong</w:t>
            </w:r>
          </w:p>
        </w:tc>
      </w:tr>
      <w:tr>
        <w:tc>
          <w:tcPr/>
          <w:p>
            <w:pPr>
              <w:pStyle w:val="Compact"/>
            </w:pPr>
            <w:r>
              <w:t xml:space="preserve">Batch ETL, 30+ sources</w:t>
            </w:r>
          </w:p>
        </w:tc>
        <w:tc>
          <w:tcPr/>
          <w:p>
            <w:pPr>
              <w:pStyle w:val="Compact"/>
            </w:pPr>
            <w:r>
              <w:t xml:space="preserve">80+ out-of-box connectors (Salesforce, SAP, NetSuite, common databases), Debezium-compatible CDC</w:t>
            </w:r>
          </w:p>
        </w:tc>
        <w:tc>
          <w:tcPr/>
          <w:p>
            <w:pPr>
              <w:pStyle w:val="Compact"/>
            </w:pPr>
            <w:r>
              <w:t xml:space="preserve">Strong</w:t>
            </w:r>
          </w:p>
        </w:tc>
      </w:tr>
      <w:tr>
        <w:tc>
          <w:tcPr/>
          <w:p>
            <w:pPr>
              <w:pStyle w:val="Compact"/>
            </w:pPr>
            <w:r>
              <w:t xml:space="preserve">BI for 600 analysts, Power BI non-negotiable</w:t>
            </w:r>
          </w:p>
        </w:tc>
        <w:tc>
          <w:tcPr/>
          <w:p>
            <w:pPr>
              <w:pStyle w:val="Compact"/>
            </w:pPr>
            <w:r>
              <w:t xml:space="preserve">Certified Power BI integration with a dedicated DirectQuery adapter — our most mature BI integration</w:t>
            </w:r>
          </w:p>
        </w:tc>
        <w:tc>
          <w:tcPr/>
          <w:p>
            <w:pPr>
              <w:pStyle w:val="Compact"/>
            </w:pPr>
            <w:r>
              <w:t xml:space="preserve">Strong</w:t>
            </w:r>
          </w:p>
        </w:tc>
      </w:tr>
      <w:tr>
        <w:tc>
          <w:tcPr/>
          <w:p>
            <w:pPr>
              <w:pStyle w:val="Compact"/>
            </w:pPr>
            <w:r>
              <w:t xml:space="preserve">Self-service prep for 150 data engineers</w:t>
            </w:r>
          </w:p>
        </w:tc>
        <w:tc>
          <w:tcPr/>
          <w:p>
            <w:pPr>
              <w:pStyle w:val="Compact"/>
            </w:pPr>
            <w:r>
              <w:t xml:space="preserve">Low-code prep UI purpose-built for analyst/engineer personas</w:t>
            </w:r>
          </w:p>
        </w:tc>
        <w:tc>
          <w:tcPr/>
          <w:p>
            <w:pPr>
              <w:pStyle w:val="Compact"/>
            </w:pPr>
            <w:r>
              <w:t xml:space="preserve">Strong</w:t>
            </w:r>
          </w:p>
        </w:tc>
      </w:tr>
      <w:tr>
        <w:tc>
          <w:tcPr/>
          <w:p>
            <w:pPr>
              <w:pStyle w:val="Compact"/>
            </w:pPr>
            <w:r>
              <w:t xml:space="preserve">Predictive-maintenance ML (planned)</w:t>
            </w:r>
          </w:p>
        </w:tc>
        <w:tc>
          <w:tcPr/>
          <w:p>
            <w:pPr>
              <w:pStyle w:val="Compact"/>
            </w:pPr>
            <w:r>
              <w:t xml:space="preserve">Model registry with versioning, offline/online feature store, autoscaling model serving, bring-your-own-model (HuggingFace/Anthropic/OpenAI)</w:t>
            </w:r>
          </w:p>
        </w:tc>
        <w:tc>
          <w:tcPr/>
          <w:p>
            <w:pPr>
              <w:pStyle w:val="Compact"/>
            </w:pPr>
            <w:r>
              <w:t xml:space="preserve">Strong — ready when the program activates</w:t>
            </w:r>
          </w:p>
        </w:tc>
      </w:tr>
      <w:tr>
        <w:tc>
          <w:tcPr/>
          <w:p>
            <w:pPr>
              <w:pStyle w:val="Compact"/>
            </w:pPr>
            <w:r>
              <w:t xml:space="preserve">280 TB scale, 12 TB/month growth</w:t>
            </w:r>
          </w:p>
        </w:tc>
        <w:tc>
          <w:tcPr/>
          <w:p>
            <w:pPr>
              <w:pStyle w:val="Compact"/>
            </w:pPr>
            <w:r>
              <w:t xml:space="preserve">No ingest ceiling on Enterprise tier; storage is decoupled, multi-cloud object storage</w:t>
            </w:r>
          </w:p>
        </w:tc>
        <w:tc>
          <w:tcPr/>
          <w:p>
            <w:pPr>
              <w:pStyle w:val="Compact"/>
            </w:pPr>
            <w:r>
              <w:t xml:space="preserve">Strong</w:t>
            </w:r>
          </w:p>
        </w:tc>
      </w:tr>
      <w:tr>
        <w:tc>
          <w:tcPr/>
          <w:p>
            <w:pPr>
              <w:pStyle w:val="Compact"/>
            </w:pPr>
            <w:r>
              <w:t xml:space="preserve">Multi-region (EU primary, US East secondary), EU residency</w:t>
            </w:r>
          </w:p>
        </w:tc>
        <w:tc>
          <w:tcPr/>
          <w:p>
            <w:pPr>
              <w:pStyle w:val="Compact"/>
            </w:pPr>
            <w:r>
              <w:t xml:space="preserve">Multi-region deployment on Azure with per-table residency pinning; EU data enforced to stay in EU</w:t>
            </w:r>
          </w:p>
        </w:tc>
        <w:tc>
          <w:tcPr/>
          <w:p>
            <w:pPr>
              <w:pStyle w:val="Compact"/>
            </w:pPr>
            <w:r>
              <w:t xml:space="preserve">Strong</w:t>
            </w:r>
          </w:p>
        </w:tc>
      </w:tr>
      <w:tr>
        <w:tc>
          <w:tcPr/>
          <w:p>
            <w:pPr>
              <w:pStyle w:val="Compact"/>
            </w:pPr>
            <w:r>
              <w:t xml:space="preserve">Lakehouse, open formats</w:t>
            </w:r>
          </w:p>
        </w:tc>
        <w:tc>
          <w:tcPr/>
          <w:p>
            <w:pPr>
              <w:pStyle w:val="Compact"/>
            </w:pPr>
            <w:r>
              <w:t xml:space="preserve">Native Delta, Iceberg, Parquet; compute decoupled from storage</w:t>
            </w:r>
          </w:p>
        </w:tc>
        <w:tc>
          <w:tcPr/>
          <w:p>
            <w:pPr>
              <w:pStyle w:val="Compact"/>
            </w:pPr>
            <w:r>
              <w:t xml:space="preserve">Strong</w:t>
            </w:r>
          </w:p>
        </w:tc>
      </w:tr>
      <w:tr>
        <w:tc>
          <w:tcPr/>
          <w:p>
            <w:pPr>
              <w:pStyle w:val="Compact"/>
            </w:pPr>
            <w:r>
              <w:t xml:space="preserve">99.99% uptime</w:t>
            </w:r>
          </w:p>
        </w:tc>
        <w:tc>
          <w:tcPr/>
          <w:p>
            <w:pPr>
              <w:pStyle w:val="Compact"/>
            </w:pPr>
            <w:r>
              <w:t xml:space="preserve">Available as a custom Enterprise add-on requiring multi-region active-active architecture — which Acme’s own topology already calls for</w:t>
            </w:r>
          </w:p>
        </w:tc>
        <w:tc>
          <w:tcPr/>
          <w:p>
            <w:pPr>
              <w:pStyle w:val="Compact"/>
            </w:pPr>
            <w:r>
              <w:t xml:space="preserve">Deliverable, priced separately (see Section 4)</w:t>
            </w:r>
          </w:p>
        </w:tc>
      </w:tr>
    </w:tbl>
    <w:p>
      <w:pPr>
        <w:pStyle w:val="BodyText"/>
      </w:pPr>
      <w:r>
        <w:rPr>
          <w:b/>
          <w:bCs/>
        </w:rPr>
        <w:t xml:space="preserve">Where we are honest about limits:</w:t>
      </w:r>
      <w:r>
        <w:t xml:space="preserve"> </w:t>
      </w:r>
      <w:r>
        <w:t xml:space="preserve">our streaming query latency is 250ms–1s, not sub-100ms. Nothing in Acme’s stated workloads requires sub-100ms today, but if the predictive-maintenance program later needs it, we will flag that during technical validation rather than after signature.</w:t>
      </w:r>
    </w:p>
    <w:bookmarkEnd w:id="11"/>
    <w:bookmarkStart w:id="12" w:name="why-us-over-the-other-bidders"/>
    <w:p>
      <w:pPr>
        <w:pStyle w:val="Heading3"/>
      </w:pPr>
      <w:r>
        <w:t xml:space="preserve">3.2 Why us over the other bidders</w:t>
      </w:r>
    </w:p>
    <w:p>
      <w:pPr>
        <w:pStyle w:val="FirstParagraph"/>
      </w:pPr>
      <w:r>
        <w:t xml:space="preserve">Acme is also evaluating Databricks, Snowflake, and Microsoft Fabric. We expect:</w:t>
      </w:r>
    </w:p>
    <w:p>
      <w:pPr>
        <w:pStyle w:val="Compact"/>
        <w:numPr>
          <w:ilvl w:val="0"/>
          <w:numId w:val="1001"/>
        </w:numPr>
      </w:pPr>
      <w:r>
        <w:rPr>
          <w:b/>
          <w:bCs/>
        </w:rPr>
        <w:t xml:space="preserve">Microsoft Fabric</w:t>
      </w:r>
      <w:r>
        <w:t xml:space="preserve"> </w:t>
      </w:r>
      <w:r>
        <w:t xml:space="preserve">will look attractive on headline price given Acme’s existing E5/Azure estate and Fabric’s tight native Power BI ownership — but Fabric is materially less mature (roughly 18 months of enterprise hardening vs. our 8 years), and the</w:t>
      </w:r>
      <w:r>
        <w:t xml:space="preserve"> </w:t>
      </w:r>
      <w:r>
        <w:t xml:space="preserve">“included with E5”</w:t>
      </w:r>
      <w:r>
        <w:t xml:space="preserve"> </w:t>
      </w:r>
      <w:r>
        <w:t xml:space="preserve">positioning rarely holds once Acme’s actual compute and consulting spend at 280 TB / 80K events-per-second scale is priced out. We will provide a like-for-like 3-year TCO comparison, not just a list-price comparison.</w:t>
      </w:r>
    </w:p>
    <w:p>
      <w:pPr>
        <w:pStyle w:val="Compact"/>
        <w:numPr>
          <w:ilvl w:val="0"/>
          <w:numId w:val="1001"/>
        </w:numPr>
      </w:pPr>
      <w:r>
        <w:rPr>
          <w:b/>
          <w:bCs/>
        </w:rPr>
        <w:t xml:space="preserve">Databricks</w:t>
      </w:r>
      <w:r>
        <w:t xml:space="preserve"> </w:t>
      </w:r>
      <w:r>
        <w:t xml:space="preserve">will bring a strong ML/AI narrative and genuine lakehouse credibility. We will not out-engineer them on Spark internals — we will win on time-to-insight for Acme’s 600 analysts (a persona Databricks under-serves) and on predictable, non-escalating compute cost.</w:t>
      </w:r>
    </w:p>
    <w:p>
      <w:pPr>
        <w:pStyle w:val="Compact"/>
        <w:numPr>
          <w:ilvl w:val="0"/>
          <w:numId w:val="1001"/>
        </w:numPr>
      </w:pPr>
      <w:r>
        <w:rPr>
          <w:b/>
          <w:bCs/>
        </w:rPr>
        <w:t xml:space="preserve">Snowflake</w:t>
      </w:r>
      <w:r>
        <w:t xml:space="preserve"> </w:t>
      </w:r>
      <w:r>
        <w:t xml:space="preserve">will offer the most polished analyst experience but is comparatively weak on Acme’s real-time ingest and semi-structured/unstructured requirements, and typically becomes materially more expensive at Acme’s data scale by year 2.</w:t>
      </w:r>
    </w:p>
    <w:p>
      <w:pPr>
        <w:pStyle w:val="FirstParagraph"/>
      </w:pPr>
      <w:r>
        <w:t xml:space="preserve">Our two strongest angles for this specific deal: (1) a dedicated, most-mature Power BI adapter that directly answers Acme’s</w:t>
      </w:r>
      <w:r>
        <w:t xml:space="preserve"> </w:t>
      </w:r>
      <w:r>
        <w:t xml:space="preserve">“non-negotiable”</w:t>
      </w:r>
      <w:r>
        <w:t xml:space="preserve"> </w:t>
      </w:r>
      <w:r>
        <w:t xml:space="preserve">requirement without ceding the account to Microsoft, and (2) a 5-year, capped-cost TCO model that removes the compute-overrun risk that Databricks and Snowflake customers commonly report.</w:t>
      </w:r>
    </w:p>
    <w:bookmarkEnd w:id="12"/>
    <w:bookmarkStart w:id="13" w:name="references"/>
    <w:p>
      <w:pPr>
        <w:pStyle w:val="Heading3"/>
      </w:pPr>
      <w:r>
        <w:t xml:space="preserve">3.3 References</w:t>
      </w:r>
    </w:p>
    <w:p>
      <w:pPr>
        <w:pStyle w:val="FirstParagraph"/>
      </w:pPr>
      <w:r>
        <w:t xml:space="preserve">Subject to reference-call scheduling and NDA, we propose three comparable engagements from our industrial/IoT customer base:</w:t>
      </w:r>
    </w:p>
    <w:p>
      <w:pPr>
        <w:pStyle w:val="Compact"/>
        <w:numPr>
          <w:ilvl w:val="0"/>
          <w:numId w:val="1002"/>
        </w:numPr>
      </w:pPr>
      <w:r>
        <w:rPr>
          <w:b/>
          <w:bCs/>
        </w:rPr>
        <w:t xml:space="preserve">Initech Sensors</w:t>
      </w:r>
      <w:r>
        <w:t xml:space="preserve"> </w:t>
      </w:r>
      <w:r>
        <w:t xml:space="preserve">(Industrial/IoT) — comparable real-time-ingest and governance requirements to Acme; selected over Microsoft Fabric on real-time SLA and governance maturity.</w:t>
      </w:r>
    </w:p>
    <w:p>
      <w:pPr>
        <w:pStyle w:val="Compact"/>
        <w:numPr>
          <w:ilvl w:val="0"/>
          <w:numId w:val="1002"/>
        </w:numPr>
      </w:pPr>
      <w:r>
        <w:rPr>
          <w:b/>
          <w:bCs/>
        </w:rPr>
        <w:t xml:space="preserve">Globex Manufacturing</w:t>
      </w:r>
      <w:r>
        <w:t xml:space="preserve"> </w:t>
      </w:r>
      <w:r>
        <w:t xml:space="preserve">(Industrial/Manufacturing) — won on a 3-year TCO comparison run against the customer’s actual (heavy-unstructured) workload profile, directly analogous to the TCO exercise we propose running for Acme.</w:t>
      </w:r>
    </w:p>
    <w:p>
      <w:pPr>
        <w:pStyle w:val="Compact"/>
        <w:numPr>
          <w:ilvl w:val="0"/>
          <w:numId w:val="1002"/>
        </w:numPr>
      </w:pPr>
      <w:r>
        <w:rPr>
          <w:b/>
          <w:bCs/>
        </w:rPr>
        <w:t xml:space="preserve">Stark Industries</w:t>
      </w:r>
      <w:r>
        <w:t xml:space="preserve"> </w:t>
      </w:r>
      <w:r>
        <w:t xml:space="preserve">(Defence/Aerospace, sovereign/regulated deployment) — relevant specifically for its IP and data-sovereignty negotiation precedent, discussed further in Section 5.</w:t>
      </w:r>
    </w:p>
    <w:p>
      <w:r>
        <w:pict>
          <v:rect style="width:0;height:1.5pt" o:hralign="center" o:hrstd="t" o:hr="t"/>
        </w:pict>
      </w:r>
    </w:p>
    <w:bookmarkEnd w:id="13"/>
    <w:bookmarkEnd w:id="14"/>
    <w:bookmarkStart w:id="15" w:name="commercial-proposal"/>
    <w:p>
      <w:pPr>
        <w:pStyle w:val="Heading2"/>
      </w:pPr>
      <w:r>
        <w:t xml:space="preserve">4. Commercial Proposal</w:t>
      </w:r>
    </w:p>
    <w:p>
      <w:pPr>
        <w:pStyle w:val="FirstParagraph"/>
      </w:pPr>
      <w:r>
        <w:t xml:space="preserve">Full pricing transparency for the requested 5-year horizon (3-year initial term + 2-year renewal option), Enterprise tier: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Annual list</w:t>
            </w:r>
          </w:p>
        </w:tc>
      </w:tr>
      <w:tr>
        <w:tc>
          <w:tcPr/>
          <w:p>
            <w:pPr>
              <w:pStyle w:val="Compact"/>
            </w:pPr>
            <w:r>
              <w:t xml:space="preserve">Enterprise base (unlimited ingest/users, 24/7 support, dedicated CSM)</w:t>
            </w:r>
          </w:p>
        </w:tc>
        <w:tc>
          <w:tcPr/>
          <w:p>
            <w:pPr>
              <w:pStyle w:val="Compact"/>
            </w:pPr>
            <w:r>
              <w:t xml:space="preserve">$720,000</w:t>
            </w:r>
          </w:p>
        </w:tc>
      </w:tr>
      <w:tr>
        <w:tc>
          <w:tcPr/>
          <w:p>
            <w:pPr>
              <w:pStyle w:val="Compact"/>
            </w:pPr>
            <w:r>
              <w:t xml:space="preserve">Custom 99.99%-uptime add-on (multi-region active-active)</w:t>
            </w:r>
          </w:p>
        </w:tc>
        <w:tc>
          <w:tcPr/>
          <w:p>
            <w:pPr>
              <w:pStyle w:val="Compact"/>
            </w:pPr>
            <w:r>
              <w:t xml:space="preserve">$100,000</w:t>
            </w:r>
          </w:p>
        </w:tc>
      </w:tr>
      <w:tr>
        <w:tc>
          <w:tcPr/>
          <w:p>
            <w:pPr>
              <w:pStyle w:val="Compact"/>
            </w:pPr>
            <w:r>
              <w:rPr>
                <w:b/>
                <w:bCs/>
              </w:rPr>
              <w:t xml:space="preserve">Total annual list</w:t>
            </w:r>
          </w:p>
        </w:tc>
        <w:tc>
          <w:tcPr/>
          <w:p>
            <w:pPr>
              <w:pStyle w:val="Compact"/>
            </w:pPr>
            <w:r>
              <w:rPr>
                <w:b/>
                <w:bCs/>
              </w:rPr>
              <w:t xml:space="preserve">$820,000</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Annual net price</w:t>
            </w:r>
          </w:p>
        </w:tc>
        <w:tc>
          <w:tcPr/>
          <w:p>
            <w:pPr>
              <w:pStyle w:val="Compact"/>
            </w:pPr>
            <w:r>
              <w:t xml:space="preserve">Basis</w:t>
            </w:r>
          </w:p>
        </w:tc>
      </w:tr>
      <w:tr>
        <w:tc>
          <w:tcPr/>
          <w:p>
            <w:pPr>
              <w:pStyle w:val="Compact"/>
            </w:pPr>
            <w:r>
              <w:t xml:space="preserve">Years 1–3 (initial term)</w:t>
            </w:r>
          </w:p>
        </w:tc>
        <w:tc>
          <w:tcPr/>
          <w:p>
            <w:pPr>
              <w:pStyle w:val="Compact"/>
            </w:pPr>
            <w:r>
              <w:rPr>
                <w:b/>
                <w:bCs/>
              </w:rPr>
              <w:t xml:space="preserve">$600,000</w:t>
            </w:r>
          </w:p>
        </w:tc>
        <w:tc>
          <w:tcPr/>
          <w:p>
            <w:pPr>
              <w:pStyle w:val="Compact"/>
            </w:pPr>
            <w:r>
              <w:t xml:space="preserve">27% off list — top of our Enterprise strategic discount band, reflecting the multi-year commitment and reference potential of this account</w:t>
            </w:r>
          </w:p>
        </w:tc>
      </w:tr>
      <w:tr>
        <w:tc>
          <w:tcPr/>
          <w:p>
            <w:pPr>
              <w:pStyle w:val="Compact"/>
            </w:pPr>
            <w:r>
              <w:t xml:space="preserve">Years 4–5 (renewal option, if exercised)</w:t>
            </w:r>
          </w:p>
        </w:tc>
        <w:tc>
          <w:tcPr/>
          <w:p>
            <w:pPr>
              <w:pStyle w:val="Compact"/>
            </w:pPr>
            <w:r>
              <w:rPr>
                <w:b/>
                <w:bCs/>
              </w:rPr>
              <w:t xml:space="preserve">$618,000</w:t>
            </w:r>
          </w:p>
        </w:tc>
        <w:tc>
          <w:tcPr/>
          <w:p>
            <w:pPr>
              <w:pStyle w:val="Compact"/>
            </w:pPr>
            <w:r>
              <w:t xml:space="preserve">Pre-agreed at signature — a single, capped step (+3% total, not a recurring escalator) so Acme has genuine 5-year price certainty without us pricing five years of open-ended risk into Year 1</w:t>
            </w:r>
          </w:p>
        </w:tc>
      </w:tr>
    </w:tbl>
    <w:p>
      <w:pPr>
        <w:pStyle w:val="BodyText"/>
      </w:pPr>
      <w:r>
        <w:rPr>
          <w:b/>
          <w:bCs/>
        </w:rPr>
        <w:t xml:space="preserve">5-year total, if renewed:</w:t>
      </w:r>
      <w:r>
        <w:t xml:space="preserve"> </w:t>
      </w:r>
      <w:r>
        <w:t xml:space="preserve">$1,800,000 (Years 1–3) + $1,236,000 (Years 4–5) =</w:t>
      </w:r>
      <w:r>
        <w:t xml:space="preserve"> </w:t>
      </w:r>
      <w:r>
        <w:rPr>
          <w:b/>
          <w:bCs/>
        </w:rPr>
        <w:t xml:space="preserve">$3,036,000</w:t>
      </w:r>
      <w:r>
        <w:t xml:space="preserve">.</w:t>
      </w:r>
    </w:p>
    <w:p>
      <w:pPr>
        <w:pStyle w:val="BodyText"/>
      </w:pPr>
      <w:r>
        <w:t xml:space="preserve">Other commercial terms:</w:t>
      </w:r>
    </w:p>
    <w:p>
      <w:pPr>
        <w:pStyle w:val="Compact"/>
        <w:numPr>
          <w:ilvl w:val="0"/>
          <w:numId w:val="1003"/>
        </w:numPr>
      </w:pPr>
      <w:r>
        <w:rPr>
          <w:b/>
          <w:bCs/>
        </w:rPr>
        <w:t xml:space="preserve">Payment:</w:t>
      </w:r>
      <w:r>
        <w:t xml:space="preserve"> </w:t>
      </w:r>
      <w:r>
        <w:t xml:space="preserve">Annual in advance,</w:t>
      </w:r>
      <w:r>
        <w:t xml:space="preserve"> </w:t>
      </w:r>
      <w:r>
        <w:rPr>
          <w:b/>
          <w:bCs/>
        </w:rPr>
        <w:t xml:space="preserve">Net 60</w:t>
      </w:r>
      <w:r>
        <w:t xml:space="preserve"> </w:t>
      </w:r>
      <w:r>
        <w:t xml:space="preserve">(reflecting Acme’s investment-grade profile) rather than the requested Net 90.</w:t>
      </w:r>
    </w:p>
    <w:p>
      <w:pPr>
        <w:pStyle w:val="Compact"/>
        <w:numPr>
          <w:ilvl w:val="0"/>
          <w:numId w:val="1003"/>
        </w:numPr>
      </w:pPr>
      <w:r>
        <w:rPr>
          <w:b/>
          <w:bCs/>
        </w:rPr>
        <w:t xml:space="preserve">Acceptance testing:</w:t>
      </w:r>
      <w:r>
        <w:t xml:space="preserve"> </w:t>
      </w:r>
      <w:r>
        <w:t xml:space="preserve">Up to 30 days after go-live, at no charge.</w:t>
      </w:r>
    </w:p>
    <w:p>
      <w:pPr>
        <w:pStyle w:val="Compact"/>
        <w:numPr>
          <w:ilvl w:val="0"/>
          <w:numId w:val="1003"/>
        </w:numPr>
      </w:pPr>
      <w:r>
        <w:rPr>
          <w:b/>
          <w:bCs/>
        </w:rPr>
        <w:t xml:space="preserve">Volume true-up:</w:t>
      </w:r>
      <w:r>
        <w:t xml:space="preserve"> </w:t>
      </w:r>
      <w:r>
        <w:t xml:space="preserve">Annual true-up with a 10% buffer above committed ingest volume before any overage applies.</w:t>
      </w:r>
    </w:p>
    <w:p>
      <w:pPr>
        <w:pStyle w:val="Compact"/>
        <w:numPr>
          <w:ilvl w:val="0"/>
          <w:numId w:val="1003"/>
        </w:numPr>
      </w:pPr>
      <w:r>
        <w:rPr>
          <w:b/>
          <w:bCs/>
        </w:rPr>
        <w:t xml:space="preserve">Custom MSA:</w:t>
      </w:r>
      <w:r>
        <w:t xml:space="preserve"> </w:t>
      </w:r>
      <w:r>
        <w:t xml:space="preserve">Available for a deal this size, subject to legal sign-off (see Section 5).</w:t>
      </w:r>
    </w:p>
    <w:p>
      <w:pPr>
        <w:pStyle w:val="Compact"/>
        <w:numPr>
          <w:ilvl w:val="0"/>
          <w:numId w:val="1003"/>
        </w:numPr>
      </w:pPr>
      <w:r>
        <w:rPr>
          <w:b/>
          <w:bCs/>
        </w:rPr>
        <w:t xml:space="preserve">Discount floor of 35%:</w:t>
      </w:r>
      <w:r>
        <w:t xml:space="preserve"> </w:t>
      </w:r>
      <w:r>
        <w:t xml:space="preserve">We cannot offer this — see Section 5.1 for the reasoning and our counter.</w:t>
      </w:r>
    </w:p>
    <w:p>
      <w:r>
        <w:pict>
          <v:rect style="width:0;height:1.5pt" o:hralign="center" o:hrstd="t" o:hr="t"/>
        </w:pict>
      </w:r>
    </w:p>
    <w:bookmarkEnd w:id="15"/>
    <w:bookmarkStart w:id="19" w:name="contract-approach"/>
    <w:p>
      <w:pPr>
        <w:pStyle w:val="Heading2"/>
      </w:pPr>
      <w:r>
        <w:t xml:space="preserve">5. Contract Approach</w:t>
      </w:r>
    </w:p>
    <w:p>
      <w:pPr>
        <w:pStyle w:val="FirstParagraph"/>
      </w:pPr>
      <w:r>
        <w:t xml:space="preserve">We want Acme’s negotiating team to see our full position up front rather than discover it clause by clause. Items are grouped by how far apart we are.</w:t>
      </w:r>
    </w:p>
    <w:bookmarkStart w:id="16" w:name="where-we-align-with-the-rfp-as-drafted"/>
    <w:p>
      <w:pPr>
        <w:pStyle w:val="Heading3"/>
      </w:pPr>
      <w:r>
        <w:t xml:space="preserve">5.1 Where we align with the RFP as drafted</w:t>
      </w:r>
    </w:p>
    <w:p>
      <w:pPr>
        <w:pStyle w:val="Compact"/>
        <w:numPr>
          <w:ilvl w:val="0"/>
          <w:numId w:val="1004"/>
        </w:numPr>
      </w:pPr>
      <w:r>
        <w:t xml:space="preserve">EU data residency, enforced per-table (Section 2.3) — matches our standard model exactly.</w:t>
      </w:r>
    </w:p>
    <w:p>
      <w:pPr>
        <w:pStyle w:val="Compact"/>
        <w:numPr>
          <w:ilvl w:val="0"/>
          <w:numId w:val="1004"/>
        </w:numPr>
      </w:pPr>
      <w:r>
        <w:t xml:space="preserve">Multi-region deployment, EU primary / US East secondary — matches our reference architecture.</w:t>
      </w:r>
    </w:p>
    <w:p>
      <w:pPr>
        <w:pStyle w:val="Compact"/>
        <w:numPr>
          <w:ilvl w:val="0"/>
          <w:numId w:val="1004"/>
        </w:numPr>
      </w:pPr>
      <w:r>
        <w:t xml:space="preserve">3-year initial term with a renewal option — matches our standard structure.</w:t>
      </w:r>
    </w:p>
    <w:p>
      <w:pPr>
        <w:pStyle w:val="Compact"/>
        <w:numPr>
          <w:ilvl w:val="0"/>
          <w:numId w:val="1004"/>
        </w:numPr>
      </w:pPr>
      <w:r>
        <w:t xml:space="preserve">Annual billing in advance — matches our default.</w:t>
      </w:r>
    </w:p>
    <w:bookmarkEnd w:id="16"/>
    <w:bookmarkStart w:id="17" w:name="where-we-propose-an-alternative-and-why"/>
    <w:p>
      <w:pPr>
        <w:pStyle w:val="Heading3"/>
      </w:pPr>
      <w:r>
        <w:t xml:space="preserve">5.2 Where we propose an alternative, and why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RFP position</w:t>
            </w:r>
          </w:p>
        </w:tc>
        <w:tc>
          <w:tcPr/>
          <w:p>
            <w:pPr>
              <w:pStyle w:val="Compact"/>
            </w:pPr>
            <w:r>
              <w:t xml:space="preserve">Our proposed alternative</w:t>
            </w:r>
          </w:p>
        </w:tc>
        <w:tc>
          <w:tcPr/>
          <w:p>
            <w:pPr>
              <w:pStyle w:val="Compact"/>
            </w:pPr>
            <w:r>
              <w:t xml:space="preserve">Why</w:t>
            </w:r>
          </w:p>
        </w:tc>
      </w:tr>
      <w:tr>
        <w:tc>
          <w:tcPr/>
          <w:p>
            <w:pPr>
              <w:pStyle w:val="Compact"/>
            </w:pPr>
            <w:r>
              <w:t xml:space="preserve">≥35% off list</w:t>
            </w:r>
          </w:p>
        </w:tc>
        <w:tc>
          <w:tcPr/>
          <w:p>
            <w:pPr>
              <w:pStyle w:val="Compact"/>
            </w:pPr>
            <w:r>
              <w:t xml:space="preserve">27% (Years 1–3), described above</w:t>
            </w:r>
          </w:p>
        </w:tc>
        <w:tc>
          <w:tcPr/>
          <w:p>
            <w:pPr>
              <w:pStyle w:val="Compact"/>
            </w:pPr>
            <w:r>
              <w:t xml:space="preserve">35% falls outside even our strategic band (max 25–30% for deals this size) and is not sustainable against our cost base. We are pricing at the top of what any deal this shape has ever received internally, and pairing it with 5-year price certainty rather than a bigger Year-1 number.</w:t>
            </w:r>
          </w:p>
        </w:tc>
      </w:tr>
      <w:tr>
        <w:tc>
          <w:tcPr/>
          <w:p>
            <w:pPr>
              <w:pStyle w:val="Compact"/>
            </w:pPr>
            <w:r>
              <w:t xml:space="preserve">Pricing fixed for 5 years, no escalators</w:t>
            </w:r>
          </w:p>
        </w:tc>
        <w:tc>
          <w:tcPr/>
          <w:p>
            <w:pPr>
              <w:pStyle w:val="Compact"/>
            </w:pPr>
            <w:r>
              <w:t xml:space="preserve">Fixed for Years 1–3; a single pre-agreed cap for Years 4–5</w:t>
            </w:r>
          </w:p>
        </w:tc>
        <w:tc>
          <w:tcPr/>
          <w:p>
            <w:pPr>
              <w:pStyle w:val="Compact"/>
            </w:pPr>
            <w:r>
              <w:t xml:space="preserve">A true zero-escalation 5-year lock requires us to price in 5 years of cost inflation risk today, which raises the Year-1 number. Capping (not eliminating) the renewal-year rate gets Acme the same budgeting certainty at a lower Year-1 price.</w:t>
            </w:r>
          </w:p>
        </w:tc>
      </w:tr>
      <w:tr>
        <w:tc>
          <w:tcPr/>
          <w:p>
            <w:pPr>
              <w:pStyle w:val="Compact"/>
            </w:pPr>
            <w:r>
              <w:t xml:space="preserve">Net 90</w:t>
            </w:r>
          </w:p>
        </w:tc>
        <w:tc>
          <w:tcPr/>
          <w:p>
            <w:pPr>
              <w:pStyle w:val="Compact"/>
            </w:pPr>
            <w:r>
              <w:t xml:space="preserve">Net 60</w:t>
            </w:r>
          </w:p>
        </w:tc>
        <w:tc>
          <w:tcPr/>
          <w:p>
            <w:pPr>
              <w:pStyle w:val="Compact"/>
            </w:pPr>
            <w:r>
              <w:t xml:space="preserve">Net 90 exceeds what we extend to any customer; Net 60 is our maximum concession, offered here given Acme’s credit profile.</w:t>
            </w:r>
          </w:p>
        </w:tc>
      </w:tr>
      <w:tr>
        <w:tc>
          <w:tcPr/>
          <w:p>
            <w:pPr>
              <w:pStyle w:val="Compact"/>
            </w:pPr>
            <w:r>
              <w:t xml:space="preserve">Uncapped liability + full indemnification for breach costs</w:t>
            </w:r>
          </w:p>
        </w:tc>
        <w:tc>
          <w:tcPr/>
          <w:p>
            <w:pPr>
              <w:pStyle w:val="Compact"/>
            </w:pPr>
            <w:r>
              <w:t xml:space="preserve">Liability capped at 24 months of fees paid, with uncapped carve-outs for gross negligence and IP infringement</w:t>
            </w:r>
          </w:p>
        </w:tc>
        <w:tc>
          <w:tcPr/>
          <w:p>
            <w:pPr>
              <w:pStyle w:val="Compact"/>
            </w:pPr>
            <w:r>
              <w:t xml:space="preserve">Uncapped liability falls outside our cyber insurance coverage entirely — we could not respond as an insured vendor. 24 months is the outer edge of what our insurer will stand behind.</w:t>
            </w:r>
          </w:p>
        </w:tc>
      </w:tr>
      <w:tr>
        <w:tc>
          <w:tcPr/>
          <w:p>
            <w:pPr>
              <w:pStyle w:val="Compact"/>
            </w:pPr>
            <w:r>
              <w:t xml:space="preserve">All work product (custom development, configurations, integrations) vests in Acme</w:t>
            </w:r>
          </w:p>
        </w:tc>
        <w:tc>
          <w:tcPr/>
          <w:p>
            <w:pPr>
              <w:pStyle w:val="Compact"/>
            </w:pPr>
            <w:r>
              <w:t xml:space="preserve">Acme owns its data outright; custom work built for Acme is licensed to Acme on a perpetual, royalty-free basis, with source retained by us</w:t>
            </w:r>
          </w:p>
        </w:tc>
        <w:tc>
          <w:tcPr/>
          <w:p>
            <w:pPr>
              <w:pStyle w:val="Compact"/>
            </w:pPr>
            <w:r>
              <w:t xml:space="preserve">We used this exact structure to close Stark Industries, a similarly IP-sensitive account — Acme gets unrestricted use of everything built for it without us losing the ability to reuse our own underlying IP across customers.</w:t>
            </w:r>
          </w:p>
        </w:tc>
      </w:tr>
      <w:tr>
        <w:tc>
          <w:tcPr/>
          <w:p>
            <w:pPr>
              <w:pStyle w:val="Compact"/>
            </w:pPr>
            <w:r>
              <w:t xml:space="preserve">Audits without notice, up to 4x/year, vendor-funded</w:t>
            </w:r>
          </w:p>
        </w:tc>
        <w:tc>
          <w:tcPr/>
          <w:p>
            <w:pPr>
              <w:pStyle w:val="Compact"/>
            </w:pPr>
            <w:r>
              <w:t xml:space="preserve">30 days’ notice; first annual audit included, additional audits (up to 4/year) at Acme’s cost</w:t>
            </w:r>
          </w:p>
        </w:tc>
        <w:tc>
          <w:tcPr/>
          <w:p>
            <w:pPr>
              <w:pStyle w:val="Compact"/>
            </w:pPr>
            <w:r>
              <w:t xml:space="preserve">Zero-notice audits are operationally disruptive at a platform-wide level, not just for Acme’s instance. Advance notice plus a funded-beyond-the-first structure is our standard for accounts requesting audit frequency above the norm.</w:t>
            </w:r>
          </w:p>
        </w:tc>
      </w:tr>
      <w:tr>
        <w:tc>
          <w:tcPr/>
          <w:p>
            <w:pPr>
              <w:pStyle w:val="Compact"/>
            </w:pPr>
            <w:r>
              <w:t xml:space="preserve">Any SLA miss of any duration → immediate termination + full month refund</w:t>
            </w:r>
          </w:p>
        </w:tc>
        <w:tc>
          <w:tcPr/>
          <w:p>
            <w:pPr>
              <w:pStyle w:val="Compact"/>
            </w:pPr>
            <w:r>
              <w:t xml:space="preserve">99.99% delivered via the custom add-on; service credits (up to 30% of monthly fees) as the remedy for a miss, with termination available only after repeated/sustained failures within a rolling window</w:t>
            </w:r>
          </w:p>
        </w:tc>
        <w:tc>
          <w:tcPr/>
          <w:p>
            <w:pPr>
              <w:pStyle w:val="Compact"/>
            </w:pPr>
            <w:r>
              <w:t xml:space="preserve">We can engineer to 99.99%, but</w:t>
            </w:r>
            <w:r>
              <w:t xml:space="preserve"> </w:t>
            </w:r>
            <w:r>
              <w:t xml:space="preserve">“any miss, any duration, immediate termination”</w:t>
            </w:r>
            <w:r>
              <w:t xml:space="preserve"> </w:t>
            </w:r>
            <w:r>
              <w:t xml:space="preserve">makes the contract terminable on a transient blip. Credits plus a repeated-failure termination trigger protects Acme’s real interest (a genuinely reliable platform) without making the contract fragile.</w:t>
            </w:r>
          </w:p>
        </w:tc>
      </w:tr>
      <w:tr>
        <w:tc>
          <w:tcPr/>
          <w:p>
            <w:pPr>
              <w:pStyle w:val="Compact"/>
            </w:pPr>
            <w:r>
              <w:t xml:space="preserve">Prior written consent for every subprocessor, withheld at sole discretion</w:t>
            </w:r>
          </w:p>
        </w:tc>
        <w:tc>
          <w:tcPr/>
          <w:p>
            <w:pPr>
              <w:pStyle w:val="Compact"/>
            </w:pPr>
            <w:r>
              <w:t xml:space="preserve">Published subprocessor list; 30 days’ notice before adding a new one; Acme may object, and we will substitute or Acme may terminate the affected service</w:t>
            </w:r>
          </w:p>
        </w:tc>
        <w:tc>
          <w:tcPr/>
          <w:p>
            <w:pPr>
              <w:pStyle w:val="Compact"/>
            </w:pPr>
            <w:r>
              <w:t xml:space="preserve">Pre-approval for every subprocessor is not operationally workable at platform scale. Notice-and-objection gives Acme real control without gating every operational change.</w:t>
            </w:r>
          </w:p>
        </w:tc>
      </w:tr>
      <w:tr>
        <w:tc>
          <w:tcPr/>
          <w:p>
            <w:pPr>
              <w:pStyle w:val="Compact"/>
            </w:pPr>
            <w:r>
              <w:t xml:space="preserve">Terminable at any time, with or without cause, 30 days’ notice, no penalty</w:t>
            </w:r>
          </w:p>
        </w:tc>
        <w:tc>
          <w:tcPr/>
          <w:p>
            <w:pPr>
              <w:pStyle w:val="Compact"/>
            </w:pPr>
            <w:r>
              <w:t xml:space="preserve">Termination for convenience on 90 days’ notice; termination for cause with a 30-day cure period</w:t>
            </w:r>
          </w:p>
        </w:tc>
        <w:tc>
          <w:tcPr/>
          <w:p>
            <w:pPr>
              <w:pStyle w:val="Compact"/>
            </w:pPr>
            <w:r>
              <w:t xml:space="preserve">30-day at-will termination on a 3-to-5-year, multi-region build-out doesn’t match the amortization of the implementation investment on either side. 90 days is our standard; we did not move this in our largest reference deal of comparable size.</w:t>
            </w:r>
          </w:p>
        </w:tc>
      </w:tr>
      <w:tr>
        <w:tc>
          <w:tcPr/>
          <w:p>
            <w:pPr>
              <w:pStyle w:val="Compact"/>
            </w:pPr>
            <w:r>
              <w:t xml:space="preserve">Most Favoured Nation pricing warranty</w:t>
            </w:r>
          </w:p>
        </w:tc>
        <w:tc>
          <w:tcPr/>
          <w:p>
            <w:pPr>
              <w:pStyle w:val="Compact"/>
            </w:pPr>
            <w:r>
              <w:t xml:space="preserve">Not offered</w:t>
            </w:r>
          </w:p>
        </w:tc>
        <w:tc>
          <w:tcPr/>
          <w:p>
            <w:pPr>
              <w:pStyle w:val="Compact"/>
            </w:pPr>
            <w:r>
              <w:t xml:space="preserve">MFN pricing warranties are not something we extend to any customer, given the number of unique deal shapes (term, scope, region) across our book — this is a firm no, not a negotiating opener.</w:t>
            </w:r>
          </w:p>
        </w:tc>
      </w:tr>
    </w:tbl>
    <w:bookmarkEnd w:id="17"/>
    <w:bookmarkStart w:id="18" w:name="implementation-plan"/>
    <w:p>
      <w:pPr>
        <w:pStyle w:val="Heading3"/>
      </w:pPr>
      <w:r>
        <w:t xml:space="preserve">5.3 Implementation plan</w:t>
      </w:r>
    </w:p>
    <w:p>
      <w:pPr>
        <w:pStyle w:val="FirstParagraph"/>
      </w:pPr>
      <w:r>
        <w:t xml:space="preserve">Given Acme’s scale (multi-region, multi-source, 40,000-device real-time estate, legacy Teradata decommission), we propose a 24-week phased migration: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Weeks</w:t>
            </w:r>
          </w:p>
        </w:tc>
        <w:tc>
          <w:tcPr/>
          <w:p>
            <w:pPr>
              <w:pStyle w:val="Compact"/>
            </w:pPr>
            <w:r>
              <w:t xml:space="preserve">Milestones</w:t>
            </w:r>
          </w:p>
        </w:tc>
      </w:tr>
      <w:tr>
        <w:tc>
          <w:tcPr/>
          <w:p>
            <w:pPr>
              <w:pStyle w:val="Compact"/>
            </w:pPr>
            <w:r>
              <w:t xml:space="preserve">1 — Foundation</w:t>
            </w:r>
          </w:p>
        </w:tc>
        <w:tc>
          <w:tcPr/>
          <w:p>
            <w:pPr>
              <w:pStyle w:val="Compact"/>
            </w:pPr>
            <w:r>
              <w:t xml:space="preserve">1–8</w:t>
            </w:r>
          </w:p>
        </w:tc>
        <w:tc>
          <w:tcPr/>
          <w:p>
            <w:pPr>
              <w:pStyle w:val="Compact"/>
            </w:pPr>
            <w:r>
              <w:t xml:space="preserve">EU primary region live; first batch-ETL sources connected; pilot cohort of IoT devices on real-time ingest; Power BI DirectQuery live for an initial analyst group; governance/catalog and PII masking configured</w:t>
            </w:r>
          </w:p>
        </w:tc>
      </w:tr>
      <w:tr>
        <w:tc>
          <w:tcPr/>
          <w:p>
            <w:pPr>
              <w:pStyle w:val="Compact"/>
            </w:pPr>
            <w:r>
              <w:t xml:space="preserve">2 — Scale-out</w:t>
            </w:r>
          </w:p>
        </w:tc>
        <w:tc>
          <w:tcPr/>
          <w:p>
            <w:pPr>
              <w:pStyle w:val="Compact"/>
            </w:pPr>
            <w:r>
              <w:t xml:space="preserve">9–16</w:t>
            </w:r>
          </w:p>
        </w:tc>
        <w:tc>
          <w:tcPr/>
          <w:p>
            <w:pPr>
              <w:pStyle w:val="Compact"/>
            </w:pPr>
            <w:r>
              <w:t xml:space="preserve">Full 40,000-device real-time ingest onboarded; remaining batch sources connected; US East secondary region stood up (active-active for the 99.99% SLA); self-service prep rolled out to all 150 data engineers</w:t>
            </w:r>
          </w:p>
        </w:tc>
      </w:tr>
      <w:tr>
        <w:tc>
          <w:tcPr/>
          <w:p>
            <w:pPr>
              <w:pStyle w:val="Compact"/>
            </w:pPr>
            <w:r>
              <w:t xml:space="preserve">3 — Migration completion &amp; ML readiness</w:t>
            </w:r>
          </w:p>
        </w:tc>
        <w:tc>
          <w:tcPr/>
          <w:p>
            <w:pPr>
              <w:pStyle w:val="Compact"/>
            </w:pPr>
            <w:r>
              <w:t xml:space="preserve">17–24</w:t>
            </w:r>
          </w:p>
        </w:tc>
        <w:tc>
          <w:tcPr/>
          <w:p>
            <w:pPr>
              <w:pStyle w:val="Compact"/>
            </w:pPr>
            <w:r>
              <w:t xml:space="preserve">Teradata cutover complete; 30-day acceptance testing window; feature store and model registry provisioned for the predictive-maintenance program; production go-live and hypercare</w:t>
            </w:r>
          </w:p>
        </w:tc>
      </w:tr>
    </w:tbl>
    <w:p>
      <w:pPr>
        <w:pStyle w:val="BodyText"/>
      </w:pPr>
      <w:r>
        <w:t xml:space="preserve">This timeline supports the requested 2026-06-30 award date and gives Acme a production workload well inside 2026, with full Teradata decommissioning on track for the 2027 target.</w:t>
      </w:r>
    </w:p>
    <w:p>
      <w:r>
        <w:pict>
          <v:rect style="width:0;height:1.5pt" o:hralign="center" o:hrstd="t" o:hr="t"/>
        </w:pict>
      </w:r>
    </w:p>
    <w:bookmarkEnd w:id="18"/>
    <w:bookmarkEnd w:id="19"/>
    <w:bookmarkStart w:id="20" w:name="X8c1c094f490c4356191892ad15e33e4172f7191"/>
    <w:p>
      <w:pPr>
        <w:pStyle w:val="Heading2"/>
      </w:pPr>
      <w:r>
        <w:t xml:space="preserve">6. Risks and Mitigations (Customer-Facing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99.99% SLA is a stretch beyond our standard 99.95% Enterprise commitment</w:t>
            </w:r>
          </w:p>
        </w:tc>
        <w:tc>
          <w:tcPr/>
          <w:p>
            <w:pPr>
              <w:pStyle w:val="Compact"/>
            </w:pPr>
            <w:r>
              <w:t xml:space="preserve">Delivered via a priced, purpose-built active-active architecture across the two regions Acme already requires — not a bespoke one-off</w:t>
            </w:r>
          </w:p>
        </w:tc>
      </w:tr>
      <w:tr>
        <w:tc>
          <w:tcPr/>
          <w:p>
            <w:pPr>
              <w:pStyle w:val="Compact"/>
            </w:pPr>
            <w:r>
              <w:t xml:space="preserve">Migrating 280 TB and 40,000 real-time devices off Teradata is a large cutover</w:t>
            </w:r>
          </w:p>
        </w:tc>
        <w:tc>
          <w:tcPr/>
          <w:p>
            <w:pPr>
              <w:pStyle w:val="Compact"/>
            </w:pPr>
            <w:r>
              <w:t xml:space="preserve">Phased 24-week plan (Section 5.3) with a pilot cohort before full-volume cutover, and a 30-day acceptance window before go-live sign-off</w:t>
            </w:r>
          </w:p>
        </w:tc>
      </w:tr>
      <w:tr>
        <w:tc>
          <w:tcPr/>
          <w:p>
            <w:pPr>
              <w:pStyle w:val="Compact"/>
            </w:pPr>
            <w:r>
              <w:t xml:space="preserve">Sub-100ms streaming latency is outside our current best performance band</w:t>
            </w:r>
          </w:p>
        </w:tc>
        <w:tc>
          <w:tcPr/>
          <w:p>
            <w:pPr>
              <w:pStyle w:val="Compact"/>
            </w:pPr>
            <w:r>
              <w:t xml:space="preserve">Not required by any workload in this RFP today; we will validate explicitly against the predictive-maintenance program’s latency needs during technical discovery, before that program goes live</w:t>
            </w:r>
          </w:p>
        </w:tc>
      </w:tr>
      <w:tr>
        <w:tc>
          <w:tcPr/>
          <w:p>
            <w:pPr>
              <w:pStyle w:val="Compact"/>
            </w:pPr>
            <w:r>
              <w:t xml:space="preserve">Contractual gap on several terms (Section 5.2)</w:t>
            </w:r>
          </w:p>
        </w:tc>
        <w:tc>
          <w:tcPr/>
          <w:p>
            <w:pPr>
              <w:pStyle w:val="Compact"/>
            </w:pPr>
            <w:r>
              <w:t xml:space="preserve">Every gap has a named counter-position above; none are presented as open questions, so redlining can move quickly against the 2026-05-26 response deadline and 2026-06-30 award target</w:t>
            </w:r>
          </w:p>
        </w:tc>
      </w:tr>
    </w:tbl>
    <w:p>
      <w:pPr>
        <w:pStyle w:val="BodyText"/>
      </w:pPr>
      <w:r>
        <w:t xml:space="preserve">An internal-only risk-vs-revenue assessment accompanies this proposal for BTS-Synthetic deal-desk use and is not part of the customer-facing package.</w:t>
      </w:r>
    </w:p>
    <w:p>
      <w:r>
        <w:pict>
          <v:rect style="width:0;height:1.5pt" o:hralign="center" o:hrstd="t" o:hr="t"/>
        </w:pict>
      </w:r>
    </w:p>
    <w:p>
      <w:pPr>
        <w:pStyle w:val="FirstParagraph"/>
      </w:pPr>
      <w:r>
        <w:rPr>
          <w:i/>
          <w:iCs/>
        </w:rPr>
        <w:t xml:space="preserve">BTS-Synthetic — prepared for Acme Corp, 2026-05-24. Confidential.</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2026-07-04T19:20:24Z</dcterms:created>
  <dcterms:modified xsi:type="dcterms:W3CDTF">2026-07-04T19:20:24Z</dcterms:modified>
</cp:coreProperties>
</file>

<file path=docProps/custom.xml><?xml version="1.0" encoding="utf-8"?>
<Properties xmlns="http://schemas.openxmlformats.org/officeDocument/2006/custom-properties" xmlns:vt="http://schemas.openxmlformats.org/officeDocument/2006/docPropsVTypes"/>
</file>