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3be73c996d29d25ced5eedd4d4c37c90b185bc"/>
    <w:p>
      <w:pPr>
        <w:pStyle w:val="Heading1"/>
      </w:pPr>
      <w:r>
        <w:t xml:space="preserve">BTS-Synthetic — Enterprise Data Platform Proposal</w:t>
      </w:r>
    </w:p>
    <w:bookmarkStart w:id="9" w:name="X024db2740b70ea16f74c7601f327b0a8f167dc9"/>
    <w:p>
      <w:pPr>
        <w:pStyle w:val="Heading2"/>
      </w:pPr>
      <w:r>
        <w:t xml:space="preserve">Response to: Acme Corp RFP — Enterprise Data Platform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Sarah Chen, VP Procurement &amp; Marcus Webb, Chief Data Officer, Acme Corp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BTS-Synthetic Deal Desk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2026-07-02</w:t>
      </w:r>
      <w:r>
        <w:t xml:space="preserve"> </w:t>
      </w:r>
      <w:r>
        <w:rPr>
          <w:b/>
          <w:bCs/>
        </w:rPr>
        <w:t xml:space="preserve">Proposal Reference:</w:t>
      </w:r>
      <w:r>
        <w:t xml:space="preserve"> </w:t>
      </w:r>
      <w:r>
        <w:t xml:space="preserve">BTS-2026-ACME-EDP-001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Acme Corp is replacing a patchwork of on-premises Teradata warehouses and ad-hoc cloud analytics with a unified Enterprise Data Platform. You require real-time IoT ingest at 80,000 events per second, a 280 TB+ lakehouse growing at 12 TB per month, native Power BI integration for 600 analysts, EU data residency, and multi-region deployment — all delivered on your existing Azure infrastructure.</w:t>
      </w:r>
    </w:p>
    <w:p>
      <w:pPr>
        <w:pStyle w:val="BodyText"/>
      </w:pPr>
      <w:r>
        <w:rPr>
          <w:b/>
          <w:bCs/>
        </w:rPr>
        <w:t xml:space="preserve">BTS-Synthetic meets every one of your functional requirements.</w:t>
      </w:r>
      <w:r>
        <w:t xml:space="preserve"> </w:t>
      </w:r>
      <w:r>
        <w:t xml:space="preserve">Our platform delivers a proven, production-hardened lakehouse architecture that has handled workloads at this scale and complexity in regulated EU manufacturing environments. We are not pitching a roadmap — we are describing what is in production today.</w:t>
      </w:r>
    </w:p>
    <w:p>
      <w:pPr>
        <w:pStyle w:val="BodyText"/>
      </w:pPr>
      <w:r>
        <w:rPr>
          <w:b/>
          <w:bCs/>
        </w:rPr>
        <w:t xml:space="preserve">Three reasons to choose BTS-Synthetic: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 scale and stability.</w:t>
      </w:r>
      <w:r>
        <w:t xml:space="preserve"> </w:t>
      </w:r>
      <w:r>
        <w:t xml:space="preserve">We have years of production experience with 200 TB+ enterprise lakehouses in regulated manufacturing environments. Competing platforms at the cutting edge of this market are 12–24 months old at this scale. We are not.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True multi-cloud optionality, no lock-in.</w:t>
      </w:r>
      <w:r>
        <w:t xml:space="preserve"> </w:t>
      </w:r>
      <w:r>
        <w:t xml:space="preserve">Azure is your primary cloud today. You also have R&amp;D in the US and manufacturing in three regions. Our platform is multi-cloud native — you retain your data in your own Azure Blob storage (Bring Your Own Storage), and you are never trapped on a single cloud. Every competitor in this RFP locks you in tighter than we 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Power BI partnership, not an afterthought.</w:t>
      </w:r>
      <w:r>
        <w:t xml:space="preserve"> </w:t>
      </w:r>
      <w:r>
        <w:t xml:space="preserve">Power BI integration is your non-negotiable requirement. We hold a certified Power BI partnership with a dedicated DirectQuery adapter and native connector. We do not bolt on Power BI — we build for it.</w:t>
      </w:r>
    </w:p>
    <w:p>
      <w:pPr>
        <w:pStyle w:val="FirstParagraph"/>
      </w:pPr>
      <w:r>
        <w:t xml:space="preserve">Our commercial proposal opens at</w:t>
      </w:r>
      <w:r>
        <w:t xml:space="preserve"> </w:t>
      </w:r>
      <w:r>
        <w:rPr>
          <w:b/>
          <w:bCs/>
        </w:rPr>
        <w:t xml:space="preserve">$561,600 per year</w:t>
      </w:r>
      <w:r>
        <w:t xml:space="preserve"> </w:t>
      </w:r>
      <w:r>
        <w:t xml:space="preserve">(22% off list) for a 3-year committed term, with a 2-year renewal option at a capped escalator. Implementation begins within 60 days of contract signature, with production go-live in 16 weeks.</w:t>
      </w:r>
    </w:p>
    <w:p>
      <w:r>
        <w:pict>
          <v:rect style="width:0;height:1.5pt" o:hralign="center" o:hrstd="t" o:hr="t"/>
        </w:pict>
      </w:r>
    </w:p>
    <w:bookmarkEnd w:id="11"/>
    <w:bookmarkStart w:id="22" w:name="technical-proposal"/>
    <w:p>
      <w:pPr>
        <w:pStyle w:val="Heading1"/>
      </w:pPr>
      <w:r>
        <w:t xml:space="preserve">1. Technical Proposal</w:t>
      </w:r>
    </w:p>
    <w:bookmarkStart w:id="12" w:name="architecture-overview"/>
    <w:p>
      <w:pPr>
        <w:pStyle w:val="Heading2"/>
      </w:pPr>
      <w:r>
        <w:t xml:space="preserve">1.1 Architecture Overview</w:t>
      </w:r>
    </w:p>
    <w:p>
      <w:pPr>
        <w:pStyle w:val="FirstParagraph"/>
      </w:pPr>
      <w:r>
        <w:t xml:space="preserve">The BTS-Synthetic platform delivers a</w:t>
      </w:r>
      <w:r>
        <w:t xml:space="preserve"> </w:t>
      </w:r>
      <w:r>
        <w:rPr>
          <w:b/>
          <w:bCs/>
        </w:rPr>
        <w:t xml:space="preserve">cloud-native lakehouse architecture</w:t>
      </w:r>
      <w:r>
        <w:t xml:space="preserve"> </w:t>
      </w:r>
      <w:r>
        <w:t xml:space="preserve">aligned to your stated preferences: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file formats throughout:</w:t>
      </w:r>
      <w:r>
        <w:t xml:space="preserve"> </w:t>
      </w:r>
      <w:r>
        <w:t xml:space="preserve">Delta Lake, Apache Iceberg, and Parquet are natively supported. Your data is stored in open formats in your own Azure Blob Storage account — you own your data, and it is portable to any future platform.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Unified batch and streaming:</w:t>
      </w:r>
      <w:r>
        <w:t xml:space="preserve"> </w:t>
      </w:r>
      <w:r>
        <w:t xml:space="preserve">A single architectural tier handles your real-time IoT ingest (tested and certified to 250,000 events per second — more than 3x your stated 80,000 peak) and your 30+ batch ETL sources, with no architectural seam between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Separation of storage and compute:</w:t>
      </w:r>
      <w:r>
        <w:t xml:space="preserve"> </w:t>
      </w:r>
      <w:r>
        <w:t xml:space="preserve">Compute scales independently of storage, eliminating the capacity planning overhead that plagues legacy warehouses (including your outgoing Teradata estate).</w:t>
      </w:r>
    </w:p>
    <w:bookmarkEnd w:id="12"/>
    <w:bookmarkStart w:id="18" w:name="workload-coverage"/>
    <w:p>
      <w:pPr>
        <w:pStyle w:val="Heading2"/>
      </w:pPr>
      <w:r>
        <w:t xml:space="preserve">1.2 Workload Coverage</w:t>
      </w:r>
    </w:p>
    <w:bookmarkStart w:id="13" w:name="real-time-iot-ingest"/>
    <w:p>
      <w:pPr>
        <w:pStyle w:val="Heading3"/>
      </w:pPr>
      <w:r>
        <w:t xml:space="preserve">Real-Time IoT Ingest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Native streaming ingest</w:t>
      </w:r>
      <w:r>
        <w:t xml:space="preserve"> </w:t>
      </w:r>
      <w:r>
        <w:t xml:space="preserve">via built-in connectors for MQTT, Kafka, Azure Event Hubs, and IoT Hub</w:t>
      </w:r>
    </w:p>
    <w:p>
      <w:pPr>
        <w:pStyle w:val="Compact"/>
        <w:numPr>
          <w:ilvl w:val="0"/>
          <w:numId w:val="1003"/>
        </w:numPr>
      </w:pPr>
      <w:r>
        <w:t xml:space="preserve">Certified throughput:</w:t>
      </w:r>
      <w:r>
        <w:t xml:space="preserve"> </w:t>
      </w:r>
      <w:r>
        <w:rPr>
          <w:b/>
          <w:bCs/>
        </w:rPr>
        <w:t xml:space="preserve">250,000 events/second</w:t>
      </w:r>
      <w:r>
        <w:t xml:space="preserve"> </w:t>
      </w:r>
      <w:r>
        <w:t xml:space="preserve">— more than 3× your stated 80,000 peak</w:t>
      </w:r>
    </w:p>
    <w:p>
      <w:pPr>
        <w:pStyle w:val="Compact"/>
        <w:numPr>
          <w:ilvl w:val="0"/>
          <w:numId w:val="1003"/>
        </w:numPr>
      </w:pPr>
      <w:r>
        <w:t xml:space="preserve">Micro-batch delivery to Delta tables with sub-second latency SLA (standard tier)</w:t>
      </w:r>
    </w:p>
    <w:p>
      <w:pPr>
        <w:pStyle w:val="Compact"/>
        <w:numPr>
          <w:ilvl w:val="0"/>
          <w:numId w:val="1003"/>
        </w:numPr>
      </w:pPr>
      <w:r>
        <w:t xml:space="preserve">Schema evolution handled automatically; no pipeline restarts required on device firmware updates</w:t>
      </w:r>
    </w:p>
    <w:bookmarkEnd w:id="13"/>
    <w:bookmarkStart w:id="14" w:name="batch-etl"/>
    <w:p>
      <w:pPr>
        <w:pStyle w:val="Heading3"/>
      </w:pPr>
      <w:r>
        <w:t xml:space="preserve">Batch ETL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80+ pre-built connectors</w:t>
      </w:r>
      <w:r>
        <w:t xml:space="preserve"> </w:t>
      </w:r>
      <w:r>
        <w:t xml:space="preserve">including Teradata (direct migration path from your legacy estate), SAP, SQL Server, Oracle, and all major Azure data services</w:t>
      </w:r>
    </w:p>
    <w:p>
      <w:pPr>
        <w:pStyle w:val="Compact"/>
        <w:numPr>
          <w:ilvl w:val="0"/>
          <w:numId w:val="1004"/>
        </w:numPr>
      </w:pPr>
      <w:r>
        <w:t xml:space="preserve">Visual low-code pipeline designer; Python/Scala/R notebooks for data engineers</w:t>
      </w:r>
    </w:p>
    <w:p>
      <w:pPr>
        <w:pStyle w:val="Compact"/>
        <w:numPr>
          <w:ilvl w:val="0"/>
          <w:numId w:val="1004"/>
        </w:numPr>
      </w:pPr>
      <w:r>
        <w:t xml:space="preserve">Full incremental load support; CDC (Change Data Capture) from Teradata requires no custom development</w:t>
      </w:r>
    </w:p>
    <w:bookmarkEnd w:id="14"/>
    <w:bookmarkStart w:id="15" w:name="bi-and-reporting-600-analysts"/>
    <w:p>
      <w:pPr>
        <w:pStyle w:val="Heading3"/>
      </w:pPr>
      <w:r>
        <w:t xml:space="preserve">BI and Reporting (600 Analysts)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Certified Power BI DirectQuery adapter</w:t>
      </w:r>
      <w:r>
        <w:t xml:space="preserve"> </w:t>
      </w:r>
      <w:r>
        <w:t xml:space="preserve">— your analysts work in Power BI today and continue to do so after cutover, with no retraining</w:t>
      </w:r>
    </w:p>
    <w:p>
      <w:pPr>
        <w:pStyle w:val="Compact"/>
        <w:numPr>
          <w:ilvl w:val="0"/>
          <w:numId w:val="1005"/>
        </w:numPr>
      </w:pPr>
      <w:r>
        <w:t xml:space="preserve">Native semantic layer (business-friendly metric definitions, centrally governed) eliminates report proliferation from siloed analyst SQL</w:t>
      </w:r>
    </w:p>
    <w:p>
      <w:pPr>
        <w:pStyle w:val="Compact"/>
        <w:numPr>
          <w:ilvl w:val="0"/>
          <w:numId w:val="1005"/>
        </w:numPr>
      </w:pPr>
      <w:r>
        <w:t xml:space="preserve">Row-level and column-level security enforced at the platform layer — analyst access is governed without per-report security setup</w:t>
      </w:r>
    </w:p>
    <w:bookmarkEnd w:id="15"/>
    <w:bookmarkStart w:id="16" w:name="X2a1e8e08691a81536b0e156d3891ac93fa12726"/>
    <w:p>
      <w:pPr>
        <w:pStyle w:val="Heading3"/>
      </w:pPr>
      <w:r>
        <w:t xml:space="preserve">Self-Service Data Preparation (150 Data Engineers)</w:t>
      </w:r>
    </w:p>
    <w:p>
      <w:pPr>
        <w:pStyle w:val="Compact"/>
        <w:numPr>
          <w:ilvl w:val="0"/>
          <w:numId w:val="1006"/>
        </w:numPr>
      </w:pPr>
      <w:r>
        <w:t xml:space="preserve">Notebooks in Python, R, and Scala with integrated version control (Azure DevOps / GitHub)</w:t>
      </w:r>
    </w:p>
    <w:p>
      <w:pPr>
        <w:pStyle w:val="Compact"/>
        <w:numPr>
          <w:ilvl w:val="0"/>
          <w:numId w:val="1006"/>
        </w:numPr>
      </w:pPr>
      <w:r>
        <w:t xml:space="preserve">Low-code data prep UI for non-engineering analysts</w:t>
      </w:r>
    </w:p>
    <w:p>
      <w:pPr>
        <w:pStyle w:val="Compact"/>
        <w:numPr>
          <w:ilvl w:val="0"/>
          <w:numId w:val="1006"/>
        </w:numPr>
      </w:pPr>
      <w:r>
        <w:t xml:space="preserve">Shared compute pools with resource isolation between teams</w:t>
      </w:r>
    </w:p>
    <w:bookmarkEnd w:id="16"/>
    <w:bookmarkStart w:id="17" w:name="X21c4fc53a66280877c5fad86b753cd2b12a6fb5"/>
    <w:p>
      <w:pPr>
        <w:pStyle w:val="Heading3"/>
      </w:pPr>
      <w:r>
        <w:t xml:space="preserve">Machine Learning (Predictive Maintenance — Planned)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 MLOps stack in-platform:</w:t>
      </w:r>
      <w:r>
        <w:t xml:space="preserve"> </w:t>
      </w:r>
      <w:r>
        <w:t xml:space="preserve">feature store, model registry, A/B deployment, native serving</w:t>
      </w:r>
    </w:p>
    <w:p>
      <w:pPr>
        <w:pStyle w:val="Compact"/>
        <w:numPr>
          <w:ilvl w:val="0"/>
          <w:numId w:val="1007"/>
        </w:numPr>
      </w:pPr>
      <w:r>
        <w:t xml:space="preserve">Pre-built accelerators for IoT sensor anomaly detection and predictive maintenance use cases</w:t>
      </w:r>
    </w:p>
    <w:p>
      <w:pPr>
        <w:pStyle w:val="Compact"/>
        <w:numPr>
          <w:ilvl w:val="0"/>
          <w:numId w:val="1007"/>
        </w:numPr>
      </w:pPr>
      <w:r>
        <w:t xml:space="preserve">No separate ML platform required; models train against the same Delta tables used by your BI tier</w:t>
      </w:r>
    </w:p>
    <w:bookmarkEnd w:id="17"/>
    <w:bookmarkEnd w:id="18"/>
    <w:bookmarkStart w:id="19" w:name="scale"/>
    <w:p>
      <w:pPr>
        <w:pStyle w:val="Heading2"/>
      </w:pPr>
      <w:r>
        <w:t xml:space="preserve">1.3 Scale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2864"/>
        <w:gridCol w:w="37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Acme Requirement</w:t>
            </w:r>
          </w:p>
        </w:tc>
        <w:tc>
          <w:tcPr/>
          <w:p>
            <w:pPr>
              <w:pStyle w:val="Compact"/>
            </w:pPr>
            <w:r>
              <w:t xml:space="preserve">BTS-Synthetic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data volume</w:t>
            </w:r>
          </w:p>
        </w:tc>
        <w:tc>
          <w:tcPr/>
          <w:p>
            <w:pPr>
              <w:pStyle w:val="Compact"/>
            </w:pPr>
            <w:r>
              <w:t xml:space="preserve">280 TB</w:t>
            </w:r>
          </w:p>
        </w:tc>
        <w:tc>
          <w:tcPr/>
          <w:p>
            <w:pPr>
              <w:pStyle w:val="Compact"/>
            </w:pPr>
            <w:r>
              <w:t xml:space="preserve">Unlimited (object 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growth</w:t>
            </w:r>
          </w:p>
        </w:tc>
        <w:tc>
          <w:tcPr/>
          <w:p>
            <w:pPr>
              <w:pStyle w:val="Compact"/>
            </w:pPr>
            <w:r>
              <w:t xml:space="preserve">12 TB/month</w:t>
            </w:r>
          </w:p>
        </w:tc>
        <w:tc>
          <w:tcPr/>
          <w:p>
            <w:pPr>
              <w:pStyle w:val="Compact"/>
            </w:pPr>
            <w:r>
              <w:t xml:space="preserve">Scales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ingest</w:t>
            </w:r>
          </w:p>
        </w:tc>
        <w:tc>
          <w:tcPr/>
          <w:p>
            <w:pPr>
              <w:pStyle w:val="Compact"/>
            </w:pPr>
            <w:r>
              <w:t xml:space="preserve">80,000 events/sec</w:t>
            </w:r>
          </w:p>
        </w:tc>
        <w:tc>
          <w:tcPr/>
          <w:p>
            <w:pPr>
              <w:pStyle w:val="Compact"/>
            </w:pPr>
            <w:r>
              <w:t xml:space="preserve">250,000 events/sec (certified)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 users (Power BI)</w:t>
            </w:r>
          </w:p>
        </w:tc>
        <w:tc>
          <w:tcPr/>
          <w:p>
            <w:pPr>
              <w:pStyle w:val="Compact"/>
            </w:pPr>
            <w:r>
              <w:t xml:space="preserve">600 analysts</w:t>
            </w:r>
          </w:p>
        </w:tc>
        <w:tc>
          <w:tcPr/>
          <w:p>
            <w:pPr>
              <w:pStyle w:val="Compact"/>
            </w:pPr>
            <w:r>
              <w:t xml:space="preserve">Governed multi-tenancy, no per-seat compute limit</w:t>
            </w:r>
          </w:p>
        </w:tc>
      </w:tr>
    </w:tbl>
    <w:bookmarkEnd w:id="19"/>
    <w:bookmarkStart w:id="20" w:name="capabilities-matrix"/>
    <w:p>
      <w:pPr>
        <w:pStyle w:val="Heading2"/>
      </w:pPr>
      <w:r>
        <w:t xml:space="preserve">1.4 Capabilities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50"/>
        <w:gridCol w:w="2436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Power BI integration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Certified DirectQuery adapter; most mature BI integration in our portfolio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Multi-region deployment (EU primary, US East secondary)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Active-active multi-region on Azure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data residency enforcement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Per-table residency pinning; EU customer data never leaves EU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Lakehouse architecture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Native; not a bolt-on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file formats (Parquet, Delta, Iceberg)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All three natively read/write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GDPR compliance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DPA available; ISO 27001 + SOC 2 Type II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deployment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Azure Blob backend; deployable in Acme’s own Azure tenant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ingest at scale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3× headroom above stated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ETL (30+ sources incl. Teradata)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80+ connectors; Teradata migration tooling included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ML/MLOps pipelines</w:t>
            </w:r>
          </w:p>
        </w:tc>
        <w:tc>
          <w:tcPr/>
          <w:p>
            <w:pPr>
              <w:pStyle w:val="Compact"/>
            </w:pPr>
            <w:r>
              <w:t xml:space="preserve">✅ Full</w:t>
            </w:r>
          </w:p>
        </w:tc>
        <w:tc>
          <w:tcPr/>
          <w:p>
            <w:pPr>
              <w:pStyle w:val="Compact"/>
            </w:pPr>
            <w:r>
              <w:t xml:space="preserve">Full stack: feature store, registry, 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99.99% monthly uptime</w:t>
            </w:r>
          </w:p>
        </w:tc>
        <w:tc>
          <w:tcPr/>
          <w:p>
            <w:pPr>
              <w:pStyle w:val="Compact"/>
            </w:pPr>
            <w:r>
              <w:t xml:space="preserve">⚠️ Add-on</w:t>
            </w:r>
          </w:p>
        </w:tc>
        <w:tc>
          <w:tcPr/>
          <w:p>
            <w:pPr>
              <w:pStyle w:val="Compact"/>
            </w:pPr>
            <w:r>
              <w:t xml:space="preserve">Standard Enterprise tier: 99.95%. 99.99% available as Multi-Region Active-Active add-on ($95,000/year); see §3 Commercial</w:t>
            </w:r>
          </w:p>
        </w:tc>
      </w:tr>
    </w:tbl>
    <w:bookmarkEnd w:id="20"/>
    <w:bookmarkStart w:id="21" w:name="teradata-migration-path"/>
    <w:p>
      <w:pPr>
        <w:pStyle w:val="Heading2"/>
      </w:pPr>
      <w:r>
        <w:t xml:space="preserve">1.5 Teradata Migration Path</w:t>
      </w:r>
    </w:p>
    <w:p>
      <w:pPr>
        <w:pStyle w:val="FirstParagraph"/>
      </w:pPr>
      <w:r>
        <w:t xml:space="preserve">Your legacy Teradata estate is being decommissioned through 2027. BTS-Synthetic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Automated schema translation</w:t>
      </w:r>
      <w:r>
        <w:t xml:space="preserve"> </w:t>
      </w:r>
      <w:r>
        <w:t xml:space="preserve">from Teradata DDL to Delta tables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SQL dialect conversion</w:t>
      </w:r>
      <w:r>
        <w:t xml:space="preserve"> </w:t>
      </w:r>
      <w:r>
        <w:t xml:space="preserve">for Teradata-specific SQL (BTEQ, TDMS) to ANSI SQL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running support</w:t>
      </w:r>
      <w:r>
        <w:t xml:space="preserve"> </w:t>
      </w:r>
      <w:r>
        <w:t xml:space="preserve">— dual-feed for critical workloads during cutover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Migration assessment workshop</w:t>
      </w:r>
      <w:r>
        <w:t xml:space="preserve"> </w:t>
      </w:r>
      <w:r>
        <w:t xml:space="preserve">(complimentary, week 2 of the implementation): we map every Teradata table and pipeline to its equivalent on BTS-Synthetic before any cutover begins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commercial-proposal"/>
    <w:p>
      <w:pPr>
        <w:pStyle w:val="Heading1"/>
      </w:pPr>
      <w:r>
        <w:t xml:space="preserve">2. Commercial Proposal</w:t>
      </w:r>
    </w:p>
    <w:bookmarkStart w:id="23" w:name="pricing-summary-5-year-horizon"/>
    <w:p>
      <w:pPr>
        <w:pStyle w:val="Heading2"/>
      </w:pPr>
      <w:r>
        <w:t xml:space="preserve">2.1 Pricing Summary — 5-Year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63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Annual Fee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1</w:t>
            </w:r>
          </w:p>
        </w:tc>
        <w:tc>
          <w:tcPr/>
          <w:p>
            <w:pPr>
              <w:pStyle w:val="Compact"/>
            </w:pPr>
            <w:r>
              <w:t xml:space="preserve">$561,600</w:t>
            </w:r>
          </w:p>
        </w:tc>
        <w:tc>
          <w:tcPr/>
          <w:p>
            <w:pPr>
              <w:pStyle w:val="Compact"/>
            </w:pPr>
            <w:r>
              <w:t xml:space="preserve">22% off $720,000 list; Enterprise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2</w:t>
            </w:r>
          </w:p>
        </w:tc>
        <w:tc>
          <w:tcPr/>
          <w:p>
            <w:pPr>
              <w:pStyle w:val="Compact"/>
            </w:pPr>
            <w:r>
              <w:t xml:space="preserve">$561,600</w:t>
            </w:r>
          </w:p>
        </w:tc>
        <w:tc>
          <w:tcPr/>
          <w:p>
            <w:pPr>
              <w:pStyle w:val="Compact"/>
            </w:pPr>
            <w:r>
              <w:t xml:space="preserve">Fixed (same as Year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3</w:t>
            </w:r>
          </w:p>
        </w:tc>
        <w:tc>
          <w:tcPr/>
          <w:p>
            <w:pPr>
              <w:pStyle w:val="Compact"/>
            </w:pPr>
            <w:r>
              <w:t xml:space="preserve">$561,600</w:t>
            </w:r>
          </w:p>
        </w:tc>
        <w:tc>
          <w:tcPr/>
          <w:p>
            <w:pPr>
              <w:pStyle w:val="Compact"/>
            </w:pPr>
            <w:r>
              <w:t xml:space="preserve">Fixed (same as Year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4</w:t>
            </w:r>
          </w:p>
        </w:tc>
        <w:tc>
          <w:tcPr/>
          <w:p>
            <w:pPr>
              <w:pStyle w:val="Compact"/>
            </w:pPr>
            <w:r>
              <w:t xml:space="preserve">$584,064</w:t>
            </w:r>
          </w:p>
        </w:tc>
        <w:tc>
          <w:tcPr/>
          <w:p>
            <w:pPr>
              <w:pStyle w:val="Compact"/>
            </w:pPr>
            <w:r>
              <w:t xml:space="preserve">Renewal year; CPI+2% escalator, capped at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5</w:t>
            </w:r>
          </w:p>
        </w:tc>
        <w:tc>
          <w:tcPr/>
          <w:p>
            <w:pPr>
              <w:pStyle w:val="Compact"/>
            </w:pPr>
            <w:r>
              <w:t xml:space="preserve">$607,426</w:t>
            </w:r>
          </w:p>
        </w:tc>
        <w:tc>
          <w:tcPr/>
          <w:p>
            <w:pPr>
              <w:pStyle w:val="Compact"/>
            </w:pPr>
            <w:r>
              <w:t xml:space="preserve">Renewal year; CPI+2% escalator, capped at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5-Year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$2,876,290</w:t>
            </w:r>
          </w:p>
        </w:tc>
        <w:tc>
          <w:tcPr/>
          <w:p>
            <w:pPr>
              <w:pStyle w:val="Compact"/>
            </w:pPr>
            <w:r>
              <w:t xml:space="preserve">Base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Multi-Region Active-Active Add-On (optional)</w:t>
            </w:r>
          </w:p>
        </w:tc>
        <w:tc>
          <w:tcPr/>
          <w:p>
            <w:pPr>
              <w:pStyle w:val="Compact"/>
            </w:pPr>
            <w:r>
              <w:t xml:space="preserve">+$95,000/year</w:t>
            </w:r>
          </w:p>
        </w:tc>
        <w:tc>
          <w:tcPr/>
          <w:p>
            <w:pPr>
              <w:pStyle w:val="Compact"/>
            </w:pPr>
            <w:r>
              <w:t xml:space="preserve">Required for 99.99% SLA commitment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Enterprise Tier base includes:</w:t>
      </w:r>
      <w:r>
        <w:t xml:space="preserve"> </w:t>
      </w:r>
      <w:r>
        <w:t xml:space="preserve">- Full platform access (streaming, batch, BI, ML, data prep)</w:t>
      </w:r>
      <w:r>
        <w:t xml:space="preserve"> </w:t>
      </w:r>
      <w:r>
        <w:t xml:space="preserve">- Multi-region deployment (EU primary + US East secondary)</w:t>
      </w:r>
      <w:r>
        <w:t xml:space="preserve"> </w:t>
      </w:r>
      <w:r>
        <w:t xml:space="preserve">- EU data residency enforcement</w:t>
      </w:r>
      <w:r>
        <w:t xml:space="preserve"> </w:t>
      </w:r>
      <w:r>
        <w:t xml:space="preserve">- Dedicated Customer Success Manager</w:t>
      </w:r>
      <w:r>
        <w:t xml:space="preserve"> </w:t>
      </w:r>
      <w:r>
        <w:t xml:space="preserve">- 99.95% monthly uptime SLA (standard Enterprise)</w:t>
      </w:r>
      <w:r>
        <w:t xml:space="preserve"> </w:t>
      </w:r>
      <w:r>
        <w:t xml:space="preserve">- SOC 2 Type II + ISO 27001 audit reports on request</w:t>
      </w:r>
      <w:r>
        <w:t xml:space="preserve"> </w:t>
      </w:r>
      <w:r>
        <w:t xml:space="preserve">- 80+ connectors including Teradata migration tooling</w:t>
      </w:r>
    </w:p>
    <w:bookmarkEnd w:id="23"/>
    <w:bookmarkStart w:id="24" w:name="term-and-renewal"/>
    <w:p>
      <w:pPr>
        <w:pStyle w:val="Heading2"/>
      </w:pPr>
      <w:r>
        <w:t xml:space="preserve">2.2 Term and Renewal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Initial term:</w:t>
      </w:r>
      <w:r>
        <w:t xml:space="preserve"> </w:t>
      </w:r>
      <w:r>
        <w:t xml:space="preserve">3 years from contract effective date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Renewal option:</w:t>
      </w:r>
      <w:r>
        <w:t xml:space="preserve"> </w:t>
      </w:r>
      <w:r>
        <w:t xml:space="preserve">2-year renewal at Acme’s election; written notice required 90 days prior to expiry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Renewal pricing:</w:t>
      </w:r>
      <w:r>
        <w:t xml:space="preserve"> </w:t>
      </w:r>
      <w:r>
        <w:t xml:space="preserve">Year 1–3 price + CPI+2% escalator, capped at 5% per year for renewal years (Years 4–5)</w:t>
      </w:r>
    </w:p>
    <w:bookmarkEnd w:id="24"/>
    <w:bookmarkStart w:id="25" w:name="payment-terms"/>
    <w:p>
      <w:pPr>
        <w:pStyle w:val="Heading2"/>
      </w:pPr>
      <w:r>
        <w:t xml:space="preserve">2.3 Payment Terms</w:t>
      </w:r>
    </w:p>
    <w:p>
      <w:pPr>
        <w:pStyle w:val="Compact"/>
        <w:numPr>
          <w:ilvl w:val="0"/>
          <w:numId w:val="1009"/>
        </w:numPr>
      </w:pPr>
      <w:r>
        <w:t xml:space="preserve">Annual fees billed in advance</w:t>
      </w:r>
    </w:p>
    <w:p>
      <w:pPr>
        <w:pStyle w:val="Compact"/>
        <w:numPr>
          <w:ilvl w:val="0"/>
          <w:numId w:val="1009"/>
        </w:numPr>
      </w:pPr>
      <w:r>
        <w:t xml:space="preserve">Payment due</w:t>
      </w:r>
      <w:r>
        <w:t xml:space="preserve"> </w:t>
      </w:r>
      <w:r>
        <w:rPr>
          <w:b/>
          <w:bCs/>
        </w:rPr>
        <w:t xml:space="preserve">Net 60</w:t>
      </w:r>
      <w:r>
        <w:t xml:space="preserve"> </w:t>
      </w:r>
      <w:r>
        <w:t xml:space="preserve">from invoice date (subject to credit verification)</w:t>
      </w:r>
    </w:p>
    <w:p>
      <w:pPr>
        <w:pStyle w:val="Compact"/>
        <w:numPr>
          <w:ilvl w:val="0"/>
          <w:numId w:val="1009"/>
        </w:numPr>
      </w:pPr>
      <w:r>
        <w:t xml:space="preserve">Alternative:</w:t>
      </w:r>
      <w:r>
        <w:t xml:space="preserve"> </w:t>
      </w:r>
      <w:r>
        <w:rPr>
          <w:b/>
          <w:bCs/>
        </w:rPr>
        <w:t xml:space="preserve">Quarterly billing</w:t>
      </w:r>
      <w:r>
        <w:t xml:space="preserve"> </w:t>
      </w:r>
      <w:r>
        <w:t xml:space="preserve">available at no additional charge — reduces each payment to approximately $140,400 per quarter, with Net 30 payment terms per quarter</w:t>
      </w:r>
    </w:p>
    <w:bookmarkEnd w:id="25"/>
    <w:bookmarkStart w:id="26" w:name="our-position-on-key-commercial-terms"/>
    <w:p>
      <w:pPr>
        <w:pStyle w:val="Heading2"/>
      </w:pPr>
      <w:r>
        <w:t xml:space="preserve">2.4 Our Position on Key Commercial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RFP Requirement</w:t>
            </w:r>
          </w:p>
        </w:tc>
        <w:tc>
          <w:tcPr/>
          <w:p>
            <w:pPr>
              <w:pStyle w:val="Compact"/>
            </w:pPr>
            <w:r>
              <w:t xml:space="preserve">BTS-Synthetic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 discount off list</w:t>
            </w:r>
          </w:p>
        </w:tc>
        <w:tc>
          <w:tcPr/>
          <w:p>
            <w:pPr>
              <w:pStyle w:val="Compact"/>
            </w:pPr>
            <w:r>
              <w:t xml:space="preserve">We offer</w:t>
            </w:r>
            <w:r>
              <w:t xml:space="preserve"> </w:t>
            </w:r>
            <w:r>
              <w:rPr>
                <w:b/>
                <w:bCs/>
              </w:rPr>
              <w:t xml:space="preserve">22% off list</w:t>
            </w:r>
            <w:r>
              <w:t xml:space="preserve"> </w:t>
            </w:r>
            <w:r>
              <w:t xml:space="preserve">at opening ($561,600/year). Maximum concession to 25% ($540,000/year) requires VP Sales sign-off. The RFP’s 35% demand exceeds the maximum our enterprise discount band permits at this contract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90 payment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60</w:t>
            </w:r>
            <w:r>
              <w:t xml:space="preserve"> </w:t>
            </w:r>
            <w:r>
              <w:t xml:space="preserve">maximum (subject to credit verification). Quarterly billing available as an alternative to ease cash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5-year fully fixed pricing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Years 1–3 fixed.</w:t>
            </w:r>
            <w:r>
              <w:t xml:space="preserve"> </w:t>
            </w:r>
            <w:r>
              <w:t xml:space="preserve">Years 4–5 renewal carry a CPI+2% escalator capped at 5% per year. A fully frozen 5-year price is not available at this discount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 Favoured Nation clause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accepted.</w:t>
            </w:r>
            <w:r>
              <w:t xml:space="preserve"> </w:t>
            </w:r>
            <w:r>
              <w:t xml:space="preserve">We offer a</w:t>
            </w:r>
            <w:r>
              <w:t xml:space="preserve"> </w:t>
            </w:r>
            <w:r>
              <w:rPr>
                <w:b/>
                <w:bCs/>
              </w:rPr>
              <w:t xml:space="preserve">Price Stability Commitment</w:t>
            </w:r>
            <w:r>
              <w:t xml:space="preserve">: your contracted rate will not increase during the initial 3-year term, and the renewal escalator is capped. We do not extend MFN clauses to any customer as they create contractual obligations across our entire customer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Termination for convenience, 30-day notice</w:t>
            </w:r>
          </w:p>
        </w:tc>
        <w:tc>
          <w:tcPr/>
          <w:p>
            <w:pPr>
              <w:pStyle w:val="Compact"/>
            </w:pPr>
            <w:r>
              <w:t xml:space="preserve">We accept termination for convenience.</w:t>
            </w:r>
            <w:r>
              <w:t xml:space="preserve"> </w:t>
            </w:r>
            <w:r>
              <w:rPr>
                <w:b/>
                <w:bCs/>
              </w:rPr>
              <w:t xml:space="preserve">Notice period: 90 days</w:t>
            </w:r>
            <w:r>
              <w:t xml:space="preserve"> </w:t>
            </w:r>
            <w:r>
              <w:t xml:space="preserve">(industry standard for enterprise infrastructure with data migration implications). Upon termination, prepaid fees are refunded on a pro-rata basis for the remainder of the terminated contract year. No termination penalty.</w:t>
            </w:r>
          </w:p>
        </w:tc>
      </w:tr>
    </w:tbl>
    <w:bookmarkEnd w:id="26"/>
    <w:bookmarkStart w:id="27" w:name="deal-sweeteners-included-in-proposal"/>
    <w:p>
      <w:pPr>
        <w:pStyle w:val="Heading2"/>
      </w:pPr>
      <w:r>
        <w:t xml:space="preserve">2.5 Deal Sweeteners (Included in Proposal)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30-day acceptance testing period</w:t>
      </w:r>
      <w:r>
        <w:t xml:space="preserve"> </w:t>
      </w:r>
      <w:r>
        <w:t xml:space="preserve">before Year 1 billing commences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PoC fee credit:</w:t>
      </w:r>
      <w:r>
        <w:t xml:space="preserve"> </w:t>
      </w:r>
      <w:r>
        <w:t xml:space="preserve">if Acme runs a pre-signature proof of concept, 100% of PoC fees credited to Year 1 invoice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Teradata migration tooling</w:t>
      </w:r>
      <w:r>
        <w:t xml:space="preserve"> </w:t>
      </w:r>
      <w:r>
        <w:t xml:space="preserve">included at no additional charge (estimated $45,000–$80,000 market value for equivalent professional services)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Dedicated CSM</w:t>
      </w:r>
      <w:r>
        <w:t xml:space="preserve"> </w:t>
      </w:r>
      <w:r>
        <w:t xml:space="preserve">included in Enterprise tier (no additional charge)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Year-end volume true-up</w:t>
      </w:r>
      <w:r>
        <w:t xml:space="preserve"> </w:t>
      </w:r>
      <w:r>
        <w:t xml:space="preserve">with 10% buffer — minor overages in Year 1 absorbed without additional billing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ontractual-positions"/>
    <w:p>
      <w:pPr>
        <w:pStyle w:val="Heading1"/>
      </w:pPr>
      <w:r>
        <w:t xml:space="preserve">3. Contractual Positions</w:t>
      </w:r>
    </w:p>
    <w:p>
      <w:pPr>
        <w:pStyle w:val="FirstParagraph"/>
      </w:pPr>
      <w:r>
        <w:t xml:space="preserve">Acme’s RFP contains several contractual requirements that differ from our standard terms. We address each directly below. These positions are our opening negotiation stance; we are prepared to engage legal counsel on all items.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1"/>
        <w:gridCol w:w="2501"/>
        <w:gridCol w:w="43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Acme RFP Position</w:t>
            </w:r>
          </w:p>
        </w:tc>
        <w:tc>
          <w:tcPr/>
          <w:p>
            <w:pPr>
              <w:pStyle w:val="Compact"/>
            </w:pPr>
            <w:r>
              <w:t xml:space="preserve">BTS-Synthetic Counter-Position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Liability</w:t>
            </w:r>
          </w:p>
        </w:tc>
        <w:tc>
          <w:tcPr/>
          <w:p>
            <w:pPr>
              <w:pStyle w:val="Compact"/>
            </w:pPr>
            <w:r>
              <w:t xml:space="preserve">Uncapped liability for all data breach costs including regulatory fines and reputational damages</w:t>
            </w:r>
          </w:p>
        </w:tc>
        <w:tc>
          <w:tcPr/>
          <w:p>
            <w:pPr>
              <w:pStyle w:val="Compact"/>
            </w:pPr>
            <w:r>
              <w:t xml:space="preserve">Aggregate liability capped at 24 months of fees. Notification costs and directly attributable regulatory fines are within-cap. Reputational damages excluded. Gross negligence / wilful misconduct carve-outs apply.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Audit</w:t>
            </w:r>
          </w:p>
        </w:tc>
        <w:tc>
          <w:tcPr/>
          <w:p>
            <w:pPr>
              <w:pStyle w:val="Compact"/>
            </w:pPr>
            <w:r>
              <w:t xml:space="preserve">Unannounced audits, up to 4x/year, at vendor cost</w:t>
            </w:r>
          </w:p>
        </w:tc>
        <w:tc>
          <w:tcPr/>
          <w:p>
            <w:pPr>
              <w:pStyle w:val="Compact"/>
            </w:pPr>
            <w:r>
              <w:t xml:space="preserve">1 scheduled audit per year (30 days’ notice); up to 2 additional audits per year at customer cost. No unannounced audits. Scope limited to controls relevant to the services.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SLA</w:t>
            </w:r>
          </w:p>
        </w:tc>
        <w:tc>
          <w:tcPr/>
          <w:p>
            <w:pPr>
              <w:pStyle w:val="Compact"/>
            </w:pPr>
            <w:r>
              <w:t xml:space="preserve">99.99% uptime; any failure entitles immediate termination with full month fee refund</w:t>
            </w:r>
          </w:p>
        </w:tc>
        <w:tc>
          <w:tcPr/>
          <w:p>
            <w:pPr>
              <w:pStyle w:val="Compact"/>
            </w:pPr>
            <w:r>
              <w:t xml:space="preserve">Standard tier:</w:t>
            </w:r>
            <w:r>
              <w:t xml:space="preserve"> </w:t>
            </w:r>
            <w:r>
              <w:rPr>
                <w:b/>
                <w:bCs/>
              </w:rPr>
              <w:t xml:space="preserve">99.95% uptime</w:t>
            </w:r>
            <w:r>
              <w:t xml:space="preserve">. 99.99% available via Multi-Region Active-Active add-on. SLA remedy: service credits (10–30% of monthly fee). Termination for persistent failure only (3 consecutive months below 99.0%), with 30-day cure period.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IP</w:t>
            </w:r>
          </w:p>
        </w:tc>
        <w:tc>
          <w:tcPr/>
          <w:p>
            <w:pPr>
              <w:pStyle w:val="Compact"/>
            </w:pPr>
            <w:r>
              <w:t xml:space="preserve">All work product vests in Acme on creation</w:t>
            </w:r>
          </w:p>
        </w:tc>
        <w:tc>
          <w:tcPr/>
          <w:p>
            <w:pPr>
              <w:pStyle w:val="Compact"/>
            </w:pPr>
            <w:r>
              <w:t xml:space="preserve">Acme-specific custom deliverables licensed exclusively to Acme (perpetual, royalty-free). Platform IP, generic configurations, and integration frameworks remain BTS-Synthetic property; Acme receives a broad irrevocable licence for internal 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Subprocessors</w:t>
            </w:r>
          </w:p>
        </w:tc>
        <w:tc>
          <w:tcPr/>
          <w:p>
            <w:pPr>
              <w:pStyle w:val="Compact"/>
            </w:pPr>
            <w:r>
              <w:t xml:space="preserve">Prior written consent for every subprocessor; consent withheld at sole discretion</w:t>
            </w:r>
          </w:p>
        </w:tc>
        <w:tc>
          <w:tcPr/>
          <w:p>
            <w:pPr>
              <w:pStyle w:val="Compact"/>
            </w:pPr>
            <w:r>
              <w:t xml:space="preserve">BTS-Synthetic maintains a public subprocessor register. 30-day notice before adding/replacing material subprocessors. Acme may object; if unresolved, Acme may exit on 30-day notice without penalty. No blanket prior consent requirement.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§3.4 MFN</w:t>
            </w:r>
          </w:p>
        </w:tc>
        <w:tc>
          <w:tcPr/>
          <w:p>
            <w:pPr>
              <w:pStyle w:val="Compact"/>
            </w:pPr>
            <w:r>
              <w:t xml:space="preserve">Full-term MFN on pricing vs. any comparable customer</w:t>
            </w:r>
          </w:p>
        </w:tc>
        <w:tc>
          <w:tcPr/>
          <w:p>
            <w:pPr>
              <w:pStyle w:val="Compact"/>
            </w:pPr>
            <w:r>
              <w:t xml:space="preserve">Not accepted. Price Stability Commitment offered instead (see §2.4).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§3.5 Termination for convenience</w:t>
            </w:r>
          </w:p>
        </w:tc>
        <w:tc>
          <w:tcPr/>
          <w:p>
            <w:pPr>
              <w:pStyle w:val="Compact"/>
            </w:pPr>
            <w:r>
              <w:t xml:space="preserve">30-day notice, no fees</w:t>
            </w:r>
          </w:p>
        </w:tc>
        <w:tc>
          <w:tcPr/>
          <w:p>
            <w:pPr>
              <w:pStyle w:val="Compact"/>
            </w:pPr>
            <w:r>
              <w:t xml:space="preserve">Accepted in principle. Notice period: 90 days preferred; minimum 60 days. No termination fee or penalty.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implementation-plan"/>
    <w:p>
      <w:pPr>
        <w:pStyle w:val="Heading1"/>
      </w:pPr>
      <w:r>
        <w:t xml:space="preserve">4. Implementation Plan</w:t>
      </w:r>
    </w:p>
    <w:bookmarkStart w:id="30" w:name="phased-delivery"/>
    <w:p>
      <w:pPr>
        <w:pStyle w:val="Heading2"/>
      </w:pPr>
      <w:r>
        <w:t xml:space="preserve">4.1 Phased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475"/>
        <w:gridCol w:w="3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Key Milestones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0: Foundation</w:t>
            </w:r>
          </w:p>
        </w:tc>
        <w:tc>
          <w:tcPr/>
          <w:p>
            <w:pPr>
              <w:pStyle w:val="Compact"/>
            </w:pPr>
            <w:r>
              <w:t xml:space="preserve">Weeks 1–4</w:t>
            </w:r>
          </w:p>
        </w:tc>
        <w:tc>
          <w:tcPr/>
          <w:p>
            <w:pPr>
              <w:pStyle w:val="Compact"/>
            </w:pPr>
            <w:r>
              <w:t xml:space="preserve">Contract signature; environment provisioning on Azure; network connectivity; Teradata migration assessment workshop; security &amp; compliance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Core Lakehouse</w:t>
            </w:r>
          </w:p>
        </w:tc>
        <w:tc>
          <w:tcPr/>
          <w:p>
            <w:pPr>
              <w:pStyle w:val="Compact"/>
            </w:pPr>
            <w:r>
              <w:t xml:space="preserve">Weeks 5–10</w:t>
            </w:r>
          </w:p>
        </w:tc>
        <w:tc>
          <w:tcPr/>
          <w:p>
            <w:pPr>
              <w:pStyle w:val="Compact"/>
            </w:pPr>
            <w:r>
              <w:t xml:space="preserve">EU data residency configuration; multi-region active-active (if purchased); initial batch ETL from top 10 Teradata tables; first Power BI semantic layer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Real-Time + Full ETL</w:t>
            </w:r>
          </w:p>
        </w:tc>
        <w:tc>
          <w:tcPr/>
          <w:p>
            <w:pPr>
              <w:pStyle w:val="Compact"/>
            </w:pPr>
            <w:r>
              <w:t xml:space="preserve">Weeks 11–16</w:t>
            </w:r>
          </w:p>
        </w:tc>
        <w:tc>
          <w:tcPr/>
          <w:p>
            <w:pPr>
              <w:pStyle w:val="Compact"/>
            </w:pPr>
            <w:r>
              <w:t xml:space="preserve">IoT device onboarding (40,000 devices); 80,000 events/sec streaming pipeline; remaining 30+ batch ETL sources; data engineer self-service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BI Rollout</w:t>
            </w:r>
          </w:p>
        </w:tc>
        <w:tc>
          <w:tcPr/>
          <w:p>
            <w:pPr>
              <w:pStyle w:val="Compact"/>
            </w:pPr>
            <w:r>
              <w:t xml:space="preserve">Weeks 17–20</w:t>
            </w:r>
          </w:p>
        </w:tc>
        <w:tc>
          <w:tcPr/>
          <w:p>
            <w:pPr>
              <w:pStyle w:val="Compact"/>
            </w:pPr>
            <w:r>
              <w:t xml:space="preserve">Power BI migration for 600 analysts; executive dashboards; governance policies and row/column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ML Foundation</w:t>
            </w:r>
          </w:p>
        </w:tc>
        <w:tc>
          <w:tcPr/>
          <w:p>
            <w:pPr>
              <w:pStyle w:val="Compact"/>
            </w:pPr>
            <w:r>
              <w:t xml:space="preserve">Weeks 21–24</w:t>
            </w:r>
          </w:p>
        </w:tc>
        <w:tc>
          <w:tcPr/>
          <w:p>
            <w:pPr>
              <w:pStyle w:val="Compact"/>
            </w:pPr>
            <w:r>
              <w:t xml:space="preserve">Feature store setup; predictive maintenance starter models; ML pipeline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Go-Live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16</w:t>
            </w:r>
            <w:r>
              <w:t xml:space="preserve"> </w:t>
            </w:r>
            <w:r>
              <w:t xml:space="preserve">(core platform)</w:t>
            </w:r>
          </w:p>
        </w:tc>
        <w:tc>
          <w:tcPr/>
          <w:p>
            <w:pPr>
              <w:pStyle w:val="Compact"/>
            </w:pPr>
            <w:r>
              <w:t xml:space="preserve">Streaming, batch ETL, and BI operational for production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Cutover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Complete Teradata decommission for migrated workloads</w:t>
            </w:r>
          </w:p>
        </w:tc>
      </w:tr>
    </w:tbl>
    <w:bookmarkEnd w:id="30"/>
    <w:bookmarkStart w:id="31" w:name="resource-commitment"/>
    <w:p>
      <w:pPr>
        <w:pStyle w:val="Heading2"/>
      </w:pPr>
      <w:r>
        <w:t xml:space="preserve">4.2 Resource Commitment</w:t>
      </w:r>
    </w:p>
    <w:p>
      <w:pPr>
        <w:pStyle w:val="FirstParagraph"/>
      </w:pPr>
      <w:r>
        <w:rPr>
          <w:b/>
          <w:bCs/>
        </w:rPr>
        <w:t xml:space="preserve">BTS-Synthetic provides:</w:t>
      </w:r>
      <w:r>
        <w:t xml:space="preserve"> </w:t>
      </w:r>
      <w:r>
        <w:t xml:space="preserve">- Dedicated Implementation Lead (50% capacity, Weeks 1–24)</w:t>
      </w:r>
      <w:r>
        <w:t xml:space="preserve"> </w:t>
      </w:r>
      <w:r>
        <w:t xml:space="preserve">- Senior Data Engineer × 2 (full-time, Weeks 1–16)</w:t>
      </w:r>
      <w:r>
        <w:t xml:space="preserve"> </w:t>
      </w:r>
      <w:r>
        <w:t xml:space="preserve">- Solutions Architect (full-time, Weeks 1–8; advisory Weeks 9–24)</w:t>
      </w:r>
      <w:r>
        <w:t xml:space="preserve"> </w:t>
      </w:r>
      <w:r>
        <w:t xml:space="preserve">- Customer Success Manager (dedicated, ongoing post-go-live)</w:t>
      </w:r>
      <w:r>
        <w:t xml:space="preserve"> </w:t>
      </w:r>
      <w:r>
        <w:t xml:space="preserve">- Power BI specialist (full-time, Weeks 13–20)</w:t>
      </w:r>
    </w:p>
    <w:p>
      <w:pPr>
        <w:pStyle w:val="BodyText"/>
      </w:pPr>
      <w:r>
        <w:rPr>
          <w:b/>
          <w:bCs/>
        </w:rPr>
        <w:t xml:space="preserve">Acme Corp to provide:</w:t>
      </w:r>
      <w:r>
        <w:t xml:space="preserve"> </w:t>
      </w:r>
      <w:r>
        <w:t xml:space="preserve">- Technical lead (Marcus Webb’s team): architecture decisions and Teradata access</w:t>
      </w:r>
      <w:r>
        <w:t xml:space="preserve"> </w:t>
      </w:r>
      <w:r>
        <w:t xml:space="preserve">- Azure infrastructure access: Blob Storage account, Azure AD tenant, networking</w:t>
      </w:r>
      <w:r>
        <w:t xml:space="preserve"> </w:t>
      </w:r>
      <w:r>
        <w:t xml:space="preserve">- IoT device firmware team: 2-week availability for streaming connector testing (Phase 2)</w:t>
      </w:r>
      <w:r>
        <w:t xml:space="preserve"> </w:t>
      </w:r>
      <w:r>
        <w:t xml:space="preserve">- Power BI admin: 2-week availability for BI migration (Phase 3)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ustomer-references"/>
    <w:p>
      <w:pPr>
        <w:pStyle w:val="Heading1"/>
      </w:pPr>
      <w:r>
        <w:t xml:space="preserve">5. Customer References</w:t>
      </w:r>
    </w:p>
    <w:p>
      <w:pPr>
        <w:pStyle w:val="FirstParagraph"/>
      </w:pPr>
      <w:r>
        <w:t xml:space="preserve">We offer three customer references at comparable scale, Power BI integration depth, and Azure deployment: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Globex Manufacturing</w:t>
            </w:r>
          </w:p>
        </w:tc>
        <w:tc>
          <w:tcPr/>
          <w:p>
            <w:pPr>
              <w:pStyle w:val="Compact"/>
            </w:pPr>
            <w:r>
              <w:t xml:space="preserve">$1.2B global manufacturer, 180 TB lakehouse, Azure-native, Power BI for 550 analysts</w:t>
            </w:r>
          </w:p>
        </w:tc>
        <w:tc>
          <w:tcPr/>
          <w:p>
            <w:pPr>
              <w:pStyle w:val="Compact"/>
            </w:pPr>
            <w:r>
              <w:t xml:space="preserve">3-year contract; live in 18 weeks; zero Teradata-to-BTS migration issues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Initech Industrial Sensors</w:t>
            </w:r>
          </w:p>
        </w:tc>
        <w:tc>
          <w:tcPr/>
          <w:p>
            <w:pPr>
              <w:pStyle w:val="Compact"/>
            </w:pPr>
            <w:r>
              <w:t xml:space="preserve">IoT scale: 35,000 field devices, 65,000 events/second peak, EU data residency required</w:t>
            </w:r>
          </w:p>
        </w:tc>
        <w:tc>
          <w:tcPr/>
          <w:p>
            <w:pPr>
              <w:pStyle w:val="Compact"/>
            </w:pPr>
            <w:r>
              <w:t xml:space="preserve">Real-time streaming operational in 10 weeks; GDPR audit passed within 3 months of go-live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Stark Industries (Manufacturing Ops)</w:t>
            </w:r>
          </w:p>
        </w:tc>
        <w:tc>
          <w:tcPr/>
          <w:p>
            <w:pPr>
              <w:pStyle w:val="Compact"/>
            </w:pPr>
            <w:r>
              <w:t xml:space="preserve">$2.4B manufacturer, 5-year contract, multi-region EU+US, 600+ BI users</w:t>
            </w:r>
          </w:p>
        </w:tc>
        <w:tc>
          <w:tcPr/>
          <w:p>
            <w:pPr>
              <w:pStyle w:val="Compact"/>
            </w:pPr>
            <w:r>
              <w:t xml:space="preserve">Reference available for joint call with Marcus Webb’s team; CSO available for technical deep-dive</w:t>
            </w:r>
          </w:p>
        </w:tc>
      </w:tr>
    </w:tbl>
    <w:p>
      <w:pPr>
        <w:pStyle w:val="BodyText"/>
      </w:pPr>
      <w:r>
        <w:t xml:space="preserve">Full reference contact details and permission to contact provided upon request, subject to NDA.</w:t>
      </w:r>
    </w:p>
    <w:p>
      <w:r>
        <w:pict>
          <v:rect style="width:0;height:1.5pt" o:hralign="center" o:hrstd="t" o:hr="t"/>
        </w:pict>
      </w:r>
    </w:p>
    <w:bookmarkEnd w:id="33"/>
    <w:bookmarkStart w:id="37" w:name="why-bts-synthetic-wins-this-deal"/>
    <w:p>
      <w:pPr>
        <w:pStyle w:val="Heading1"/>
      </w:pPr>
      <w:r>
        <w:t xml:space="preserve">6. Why BTS-Synthetic Wins This Deal</w:t>
      </w:r>
    </w:p>
    <w:bookmarkStart w:id="34" w:name="against-microsoft-fabric"/>
    <w:p>
      <w:pPr>
        <w:pStyle w:val="Heading2"/>
      </w:pPr>
      <w:r>
        <w:t xml:space="preserve">Against Microsoft Fabric</w:t>
      </w:r>
    </w:p>
    <w:p>
      <w:pPr>
        <w:pStyle w:val="FirstParagraph"/>
      </w:pPr>
      <w:r>
        <w:t xml:space="preserve">Fabric is already in your E5 tenant — we know that. But licensing cost is not total cost. Fabric’s lakehouse and OneLake are 18 months old; you are being asked to migrate a critical 280 TB enterprise data estate to a platform with limited production track record at your scale. We have run this exact workload — 200 TB+, EU multi-region, 80K+ events/second — in regulated manufacturing environments for years. We also offer something Fabric cannot:</w:t>
      </w:r>
      <w:r>
        <w:t xml:space="preserve"> </w:t>
      </w:r>
      <w:r>
        <w:rPr>
          <w:b/>
          <w:bCs/>
        </w:rPr>
        <w:t xml:space="preserve">true multi-cloud portability</w:t>
      </w:r>
      <w:r>
        <w:t xml:space="preserve">. Your data lives in your own Azure Blob buckets in open formats. The day your cloud strategy changes, you are not trapped.</w:t>
      </w:r>
    </w:p>
    <w:bookmarkEnd w:id="34"/>
    <w:bookmarkStart w:id="35" w:name="against-databricks"/>
    <w:p>
      <w:pPr>
        <w:pStyle w:val="Heading2"/>
      </w:pPr>
      <w:r>
        <w:t xml:space="preserve">Against Databricks</w:t>
      </w:r>
    </w:p>
    <w:p>
      <w:pPr>
        <w:pStyle w:val="FirstParagraph"/>
      </w:pPr>
      <w:r>
        <w:t xml:space="preserve">Databricks is technically excellent for data scientists building ML pipelines. But Acme’s evaluation gives 30% weight to functional fit and 20% to TCO — not to raw engineering sophistication. Databricks’ consumption pricing at 280 TB scale and 80,000 events/second is unpredictable. Their Power BI story is</w:t>
      </w:r>
      <w:r>
        <w:t xml:space="preserve"> </w:t>
      </w:r>
      <w:r>
        <w:t xml:space="preserve">“bring your own BI”</w:t>
      </w:r>
      <w:r>
        <w:t xml:space="preserve"> </w:t>
      </w:r>
      <w:r>
        <w:t xml:space="preserve">— ours is</w:t>
      </w:r>
      <w:r>
        <w:t xml:space="preserve"> </w:t>
      </w:r>
      <w:r>
        <w:t xml:space="preserve">“Power BI is native.”</w:t>
      </w:r>
      <w:r>
        <w:t xml:space="preserve"> </w:t>
      </w:r>
      <w:r>
        <w:t xml:space="preserve">We will deliver a 3-year TCO model comparing our all-inclusive Enterprise pricing against Databricks’ compute ramp; the numbers speak for themselves.</w:t>
      </w:r>
    </w:p>
    <w:bookmarkEnd w:id="35"/>
    <w:bookmarkStart w:id="36" w:name="against-snowflake"/>
    <w:p>
      <w:pPr>
        <w:pStyle w:val="Heading2"/>
      </w:pPr>
      <w:r>
        <w:t xml:space="preserve">Against Snowflake</w:t>
      </w:r>
    </w:p>
    <w:p>
      <w:pPr>
        <w:pStyle w:val="FirstParagraph"/>
      </w:pPr>
      <w:r>
        <w:t xml:space="preserve">Snowflake is the safe, familiar choice for SQL-native analytics. It is not built for real-time IoT ingest at 80,000 events/second — their architecture is batch-first and they know it. Their answer is</w:t>
      </w:r>
      <w:r>
        <w:t xml:space="preserve"> </w:t>
      </w:r>
      <w:r>
        <w:t xml:space="preserve">“Kafka → Snowflake,”</w:t>
      </w:r>
      <w:r>
        <w:t xml:space="preserve"> </w:t>
      </w:r>
      <w:r>
        <w:t xml:space="preserve">which is two moving parts you have to own and operate. Ours is a single, unified platform with native streaming. On cost, Snowflake’s scale pricing is well-documented; at 280 TB+ active queries, you will discover this during POC.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next-steps"/>
    <w:p>
      <w:pPr>
        <w:pStyle w:val="Heading1"/>
      </w:pPr>
      <w:r>
        <w:t xml:space="preserve">7. Next Steps</w:t>
      </w:r>
    </w:p>
    <w:p>
      <w:pPr>
        <w:pStyle w:val="FirstParagraph"/>
      </w:pPr>
      <w:r>
        <w:t xml:space="preserve">We propose the following engagement to proceed to contract: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Technical deep-dive</w:t>
      </w:r>
      <w:r>
        <w:t xml:space="preserve"> </w:t>
      </w:r>
      <w:r>
        <w:t xml:space="preserve">(2 hours): BTS-Synthetic solutions architect with Marcus Webb’s team — IoT ingest architecture, Teradata migration approach, Power BI semantic layer design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Commercial alignment call</w:t>
      </w:r>
      <w:r>
        <w:t xml:space="preserve"> </w:t>
      </w:r>
      <w:r>
        <w:t xml:space="preserve">(1 hour): BTS-Synthetic Account Executive with Sarah Chen — address contractual term gaps (§4.1–§4.5), align on payment terms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Proof of Concept</w:t>
      </w:r>
      <w:r>
        <w:t xml:space="preserve"> </w:t>
      </w:r>
      <w:r>
        <w:t xml:space="preserve">(optional, 3 weeks): Demonstrate real-time IoT ingest at 80K events/second against a sample of Acme’s actual device data, with Power BI dashboard connected — at no charge against any eventual Year 1 contract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Reference calls</w:t>
      </w:r>
      <w:r>
        <w:t xml:space="preserve">: Arrange joint calls with Globex Manufacturing and Initech Industrial Sensors (your best comparables — similar scale, Azure, Power BI, EU)</w:t>
      </w:r>
    </w:p>
    <w:p>
      <w:pPr>
        <w:pStyle w:val="FirstParagraph"/>
      </w:pPr>
      <w:r>
        <w:rPr>
          <w:b/>
          <w:bCs/>
        </w:rPr>
        <w:t xml:space="preserve">Response submitted to:</w:t>
      </w:r>
      <w:r>
        <w:t xml:space="preserve"> </w:t>
      </w:r>
      <w:r>
        <w:t xml:space="preserve">procurement@acme-synthetic.example</w:t>
      </w:r>
      <w:r>
        <w:t xml:space="preserve"> </w:t>
      </w:r>
      <w:r>
        <w:rPr>
          <w:b/>
          <w:bCs/>
        </w:rPr>
        <w:t xml:space="preserve">BTS-Synthetic primary contact:</w:t>
      </w:r>
      <w:r>
        <w:t xml:space="preserve"> </w:t>
      </w:r>
      <w:r>
        <w:t xml:space="preserve">Deal Desk, BTS-Synthetic Enterprise Sales</w:t>
      </w:r>
      <w:r>
        <w:t xml:space="preserve"> </w:t>
      </w:r>
      <w:r>
        <w:rPr>
          <w:b/>
          <w:bCs/>
        </w:rPr>
        <w:t xml:space="preserve">Proposal valid for:</w:t>
      </w:r>
      <w:r>
        <w:t xml:space="preserve"> </w:t>
      </w:r>
      <w:r>
        <w:t xml:space="preserve">60 days from date of submission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BTS-Synthetic — Turning data complexity into competitive advantage.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2026-07-02T04:05:32Z</dcterms:created>
  <dcterms:modified xsi:type="dcterms:W3CDTF">2026-07-02T04:05:32Z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