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5c70b23e65def3233a73ce0d1baa9d87d93f9d"/>
    <w:p>
      <w:pPr>
        <w:pStyle w:val="Heading1"/>
      </w:pPr>
      <w:r>
        <w:t xml:space="preserve">BTS-Synthetic — Proposal for Acme Corp Enterprise Data Platform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Acme Corp — Sarah Chen (VP Procurement), Marcus Webb (Chief Data Officer)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BTS-Synthetic Deal Desk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2026-07-01</w:t>
      </w:r>
      <w:r>
        <w:t xml:space="preserve"> </w:t>
      </w:r>
      <w:r>
        <w:rPr>
          <w:b/>
          <w:bCs/>
        </w:rPr>
        <w:t xml:space="preserve">RFP reference:</w:t>
      </w:r>
      <w:r>
        <w:t xml:space="preserve"> </w:t>
      </w:r>
      <w:r>
        <w:t xml:space="preserve">Acme Corp Enterprise Data Platform (issued 2026-05-12)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fit your core requirements today.</w:t>
      </w:r>
      <w:r>
        <w:t xml:space="preserve"> </w:t>
      </w:r>
      <w:r>
        <w:t xml:space="preserve">A lakehouse built on open formats (Delta, Iceberg, Parquet), a dedicated Power BI DirectQuery adapter for your 600 analysts, native real-time streaming that comfortably clears your 80,000 events/second peak, and per-table EU data residency — all available now on Azure, multi-region.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win on total cost of ownership, not headline price.</w:t>
      </w:r>
      <w:r>
        <w:t xml:space="preserve"> </w:t>
      </w:r>
      <w:r>
        <w:t xml:space="preserve">Against Databricks, Snowflake, and Microsoft Fabric, our differentiator is predictable, fixed spend at your actual 280 TB / 12 TB-per-month profile — not compute that ramps unpredictably. We propose a firm 3-year price with transparent 5-year visibility.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few of your contractual terms exceed what any responsible vendor can accept as written</w:t>
      </w:r>
      <w:r>
        <w:t xml:space="preserve"> </w:t>
      </w:r>
      <w:r>
        <w:t xml:space="preserve">(uncapped breach liability, MFN, full IP assignment, terminate-on-any-SLA-miss). We flag these honestly below with workable counter-positions, rather than agree and re-trade later.</w:t>
      </w:r>
    </w:p>
    <w:bookmarkEnd w:id="9"/>
    <w:bookmarkStart w:id="10" w:name="our-understanding-of-your-need"/>
    <w:p>
      <w:pPr>
        <w:pStyle w:val="Heading2"/>
      </w:pPr>
      <w:r>
        <w:t xml:space="preserve">2. Our Understanding of Your Need</w:t>
      </w:r>
    </w:p>
    <w:p>
      <w:pPr>
        <w:pStyle w:val="FirstParagraph"/>
      </w:pPr>
      <w:r>
        <w:t xml:space="preserve">Acme Corp is replacing a patchwork of on-premises Teradata warehouses (decommissioning through 2027) and ad-hoc cloud analytics with a single enterprise data platform. The platform must serve five distinct workloads on one architecture: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ingest</w:t>
      </w:r>
      <w:r>
        <w:t xml:space="preserve"> </w:t>
      </w:r>
      <w:r>
        <w:t xml:space="preserve">from ~40,000 field IoT devices, peaking at 80,000 events/second.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ETL</w:t>
      </w:r>
      <w:r>
        <w:t xml:space="preserve"> </w:t>
      </w:r>
      <w:r>
        <w:t xml:space="preserve">from 30+ internal 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 and reporting</w:t>
      </w:r>
      <w:r>
        <w:t xml:space="preserve"> </w:t>
      </w:r>
      <w:r>
        <w:t xml:space="preserve">for ~600 analysts and executives — with</w:t>
      </w:r>
      <w:r>
        <w:t xml:space="preserve"> </w:t>
      </w:r>
      <w:r>
        <w:rPr>
          <w:b/>
          <w:bCs/>
        </w:rPr>
        <w:t xml:space="preserve">native Power BI integration as a stated non-negotiable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Self-service data preparation</w:t>
      </w:r>
      <w:r>
        <w:t xml:space="preserve"> </w:t>
      </w:r>
      <w:r>
        <w:t xml:space="preserve">for ~150 data engineers.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Machine-learning pipelines</w:t>
      </w:r>
      <w:r>
        <w:t xml:space="preserve"> </w:t>
      </w:r>
      <w:r>
        <w:t xml:space="preserve">for predictive maintenance (planned, not yet active).</w:t>
      </w:r>
    </w:p>
    <w:p>
      <w:pPr>
        <w:pStyle w:val="FirstParagraph"/>
      </w:pPr>
      <w:r>
        <w:t xml:space="preserve">The environment is Microsoft-centric and Azure-first, at ~280 TB today growing ~12 TB/month, with a hard requirement that</w:t>
      </w:r>
      <w:r>
        <w:t xml:space="preserve"> </w:t>
      </w:r>
      <w:r>
        <w:rPr>
          <w:b/>
          <w:bCs/>
        </w:rPr>
        <w:t xml:space="preserve">EU customer data remain in the EU</w:t>
      </w:r>
      <w:r>
        <w:t xml:space="preserve"> </w:t>
      </w:r>
      <w:r>
        <w:t xml:space="preserve">(primary EU region, secondary US East), a</w:t>
      </w:r>
      <w:r>
        <w:t xml:space="preserve"> </w:t>
      </w:r>
      <w:r>
        <w:rPr>
          <w:b/>
          <w:bCs/>
        </w:rPr>
        <w:t xml:space="preserve">lakehouse architecture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open file formats</w:t>
      </w:r>
      <w:r>
        <w:t xml:space="preserve"> </w:t>
      </w:r>
      <w:r>
        <w:t xml:space="preserve">for portability, and a</w:t>
      </w:r>
      <w:r>
        <w:t xml:space="preserve"> </w:t>
      </w:r>
      <w:r>
        <w:rPr>
          <w:b/>
          <w:bCs/>
        </w:rPr>
        <w:t xml:space="preserve">99.99% uptime</w:t>
      </w:r>
      <w:r>
        <w:t xml:space="preserve"> </w:t>
      </w:r>
      <w:r>
        <w:t xml:space="preserve">commitment.</w:t>
      </w:r>
    </w:p>
    <w:p>
      <w:pPr>
        <w:pStyle w:val="BodyText"/>
      </w:pPr>
      <w:r>
        <w:t xml:space="preserve">We read this as a migration-and-consolidation deal where the winning vendor must prove real-time performance, first-class Power BI experience, EU residency, and — above all — a defensible multi-year total cost of ownership.</w:t>
      </w:r>
    </w:p>
    <w:bookmarkEnd w:id="10"/>
    <w:bookmarkStart w:id="14" w:name="why-were-the-right-fit"/>
    <w:p>
      <w:pPr>
        <w:pStyle w:val="Heading2"/>
      </w:pPr>
      <w:r>
        <w:t xml:space="preserve">3. Why We’re the Right Fit</w:t>
      </w:r>
    </w:p>
    <w:bookmarkStart w:id="11" w:name="technical-fit-against-your-requirements"/>
    <w:p>
      <w:pPr>
        <w:pStyle w:val="Heading3"/>
      </w:pPr>
      <w:r>
        <w:t xml:space="preserve">3.1 Technical fit against your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BTS-Synthetic capability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Lakehouse, open formats (Parquet/Delta/Iceberg)</w:t>
            </w:r>
          </w:p>
        </w:tc>
        <w:tc>
          <w:tcPr/>
          <w:p>
            <w:pPr>
              <w:pStyle w:val="Compact"/>
            </w:pPr>
            <w:r>
              <w:t xml:space="preserve">Native lakehouse with Delta, Iceberg, Parquet; compute decoupled from storage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Power BI (600 users, non-negotiable)</w:t>
            </w:r>
          </w:p>
        </w:tc>
        <w:tc>
          <w:tcPr/>
          <w:p>
            <w:pPr>
              <w:pStyle w:val="Compact"/>
            </w:pPr>
            <w:r>
              <w:t xml:space="preserve">Certified Power BI integration with a</w:t>
            </w:r>
            <w:r>
              <w:t xml:space="preserve"> </w:t>
            </w:r>
            <w:r>
              <w:rPr>
                <w:b/>
                <w:bCs/>
              </w:rPr>
              <w:t xml:space="preserve">dedicated DirectQuery adapter</w:t>
            </w:r>
            <w:r>
              <w:t xml:space="preserve"> </w:t>
            </w:r>
            <w:r>
              <w:t xml:space="preserve">— our most mature BI integration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ingest, 80K events/sec peak</w:t>
            </w:r>
          </w:p>
        </w:tc>
        <w:tc>
          <w:tcPr/>
          <w:p>
            <w:pPr>
              <w:pStyle w:val="Compact"/>
            </w:pPr>
            <w:r>
              <w:t xml:space="preserve">Native Kafka/Kinesis streaming, tested to</w:t>
            </w:r>
            <w:r>
              <w:t xml:space="preserve"> </w:t>
            </w:r>
            <w:r>
              <w:rPr>
                <w:b/>
                <w:bCs/>
              </w:rPr>
              <w:t xml:space="preserve">250K events/sec</w:t>
            </w:r>
            <w:r>
              <w:t xml:space="preserve"> </w:t>
            </w:r>
            <w:r>
              <w:t xml:space="preserve">single-region</w:t>
            </w:r>
          </w:p>
        </w:tc>
        <w:tc>
          <w:tcPr/>
          <w:p>
            <w:pPr>
              <w:pStyle w:val="Compact"/>
            </w:pPr>
            <w:r>
              <w:t xml:space="preserve">Full (3x headroom)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ETL from 30+ sources</w:t>
            </w:r>
          </w:p>
        </w:tc>
        <w:tc>
          <w:tcPr/>
          <w:p>
            <w:pPr>
              <w:pStyle w:val="Compact"/>
            </w:pPr>
            <w:r>
              <w:t xml:space="preserve">80+ out-of-the-box connectors, CDC for Teradata migration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prep for 150 engineers</w:t>
            </w:r>
          </w:p>
        </w:tc>
        <w:tc>
          <w:tcPr/>
          <w:p>
            <w:pPr>
              <w:pStyle w:val="Compact"/>
            </w:pPr>
            <w:r>
              <w:t xml:space="preserve">Low-code data-prep UI plus Python/R/Scala notebooks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for predictive maintenance</w:t>
            </w:r>
          </w:p>
        </w:tc>
        <w:tc>
          <w:tcPr/>
          <w:p>
            <w:pPr>
              <w:pStyle w:val="Compact"/>
            </w:pPr>
            <w:r>
              <w:t xml:space="preserve">Model registry, feature store, autoscaling serving; bring-your-own-model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(primary EU, secondary US East)</w:t>
            </w:r>
          </w:p>
        </w:tc>
        <w:tc>
          <w:tcPr/>
          <w:p>
            <w:pPr>
              <w:pStyle w:val="Compact"/>
            </w:pPr>
            <w:r>
              <w:t xml:space="preserve">Multi-cloud, multi-region on Azure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data residency</w:t>
            </w:r>
          </w:p>
        </w:tc>
        <w:tc>
          <w:tcPr/>
          <w:p>
            <w:pPr>
              <w:pStyle w:val="Compact"/>
            </w:pPr>
            <w:r>
              <w:t xml:space="preserve">Per-table residency enforcement — EU tables pinned to EU regions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&amp; audit</w:t>
            </w:r>
          </w:p>
        </w:tc>
        <w:tc>
          <w:tcPr/>
          <w:p>
            <w:pPr>
              <w:pStyle w:val="Compact"/>
            </w:pPr>
            <w:r>
              <w:t xml:space="preserve">Unity-style catalog, row/column ABAC, PII detection/masking, exportable audit logs to your SIEM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99.99% uptime</w:t>
            </w:r>
          </w:p>
        </w:tc>
        <w:tc>
          <w:tcPr/>
          <w:p>
            <w:pPr>
              <w:pStyle w:val="Compact"/>
            </w:pPr>
            <w:r>
              <w:t xml:space="preserve">Standard Enterprise SLA is</w:t>
            </w:r>
            <w:r>
              <w:t xml:space="preserve"> </w:t>
            </w:r>
            <w:r>
              <w:rPr>
                <w:b/>
                <w:bCs/>
              </w:rPr>
              <w:t xml:space="preserve">99.95%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99.99% available as an add-on</w:t>
            </w:r>
            <w:r>
              <w:t xml:space="preserve"> </w:t>
            </w:r>
            <w:r>
              <w:t xml:space="preserve">requiring multi-region active-active</w:t>
            </w:r>
          </w:p>
        </w:tc>
        <w:tc>
          <w:tcPr/>
          <w:p>
            <w:pPr>
              <w:pStyle w:val="Compact"/>
            </w:pPr>
            <w:r>
              <w:t xml:space="preserve">Partial — addressed in §4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note on latency:</w:t>
      </w:r>
      <w:r>
        <w:t xml:space="preserve"> </w:t>
      </w:r>
      <w:r>
        <w:t xml:space="preserve">for sub-100 ms interactive streaming we are not best-in-class (we operate in the ~250 ms–1 s range). Your stated workloads — real-time ingest, BI, predictive maintenance — do not require sub-100 ms query latency, so this is not a gap for your use case, but we flag it transparently.</w:t>
      </w:r>
    </w:p>
    <w:bookmarkEnd w:id="11"/>
    <w:bookmarkStart w:id="12" w:name="competitive-positioning"/>
    <w:p>
      <w:pPr>
        <w:pStyle w:val="Heading3"/>
      </w:pPr>
      <w:r>
        <w:t xml:space="preserve">3.2 Competitive positioning</w:t>
      </w:r>
    </w:p>
    <w:p>
      <w:pPr>
        <w:pStyle w:val="FirstParagraph"/>
      </w:pPr>
      <w:r>
        <w:t xml:space="preserve">Your RFP names Databricks, Snowflake, and Microsoft Fabric. Here is how we position for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deal: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vs. Microsoft Fabric</w:t>
      </w:r>
      <w:r>
        <w:t xml:space="preserve"> </w:t>
      </w:r>
      <w:r>
        <w:t xml:space="preserve">— Fabric will look</w:t>
      </w:r>
      <w:r>
        <w:t xml:space="preserve"> </w:t>
      </w:r>
      <w:r>
        <w:t xml:space="preserve">“free with E5.”</w:t>
      </w:r>
      <w:r>
        <w:t xml:space="preserve"> </w:t>
      </w:r>
      <w:r>
        <w:t xml:space="preserve">We ask you to weigh the honest TCO including Microsoft consulting hours, the Azure-only lock-in against your open-format portability goal, and platform maturity (we have eight years in production; Fabric’s core is roughly eighteen months old). We integrate deeply with Power BI; we do not need to own your BI layer to do 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vs. Databricks</w:t>
      </w:r>
      <w:r>
        <w:t xml:space="preserve"> </w:t>
      </w:r>
      <w:r>
        <w:t xml:space="preserve">— genuinely strong at large-scale engineering, but customers are repeatedly surprised by compute spend that ramps with usage. We lead with predictable, fixed spend and faster time-to-insight for your 600 analysts, who are not Spark engineers.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vs. Snowflake</w:t>
      </w:r>
      <w:r>
        <w:t xml:space="preserve"> </w:t>
      </w:r>
      <w:r>
        <w:t xml:space="preserve">— excellent analyst experience, but expensive at your scale and weaker on real-time and semi-structured IoT data. Our real-time and ML-native architecture covers all five of your workloads on one platform.</w:t>
      </w:r>
    </w:p>
    <w:p>
      <w:pPr>
        <w:pStyle w:val="FirstParagraph"/>
      </w:pPr>
      <w:r>
        <w:rPr>
          <w:b/>
          <w:bCs/>
        </w:rPr>
        <w:t xml:space="preserve">Our best opening move:</w:t>
      </w:r>
      <w:r>
        <w:t xml:space="preserve"> </w:t>
      </w:r>
      <w:r>
        <w:t xml:space="preserve">a 3-year TCO comparison run at Acme’s actual workload profile (280 TB, 12 TB/month growth, 80K events/sec), which is precisely how we displaced Snowflake at Globex Manufacturing and beat Microsoft on real-time SLA at Initech Sensors — both directly comparable industrial/IoT accounts.</w:t>
      </w:r>
    </w:p>
    <w:bookmarkEnd w:id="12"/>
    <w:bookmarkStart w:id="13" w:name="comparable-references"/>
    <w:p>
      <w:pPr>
        <w:pStyle w:val="Heading3"/>
      </w:pPr>
      <w:r>
        <w:t xml:space="preserve">3.3 Comparable references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Initech Sensors</w:t>
      </w:r>
      <w:r>
        <w:t xml:space="preserve"> </w:t>
      </w:r>
      <w:r>
        <w:t xml:space="preserve">(Industrial/IoT) — real-time ingest + governance maturity; beat Microsoft on real-time SLA.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Globex Manufacturing</w:t>
      </w:r>
      <w:r>
        <w:t xml:space="preserve"> </w:t>
      </w:r>
      <w:r>
        <w:t xml:space="preserve">(Industrial) — won on 3-year TCO vs. Snowflake at a heavy real workload.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Wayne Manufacturing</w:t>
      </w:r>
      <w:r>
        <w:t xml:space="preserve"> </w:t>
      </w:r>
      <w:r>
        <w:t xml:space="preserve">(Industrial) — proven via a 90-day PoC that converted to a production reference.</w:t>
      </w:r>
    </w:p>
    <w:p>
      <w:pPr>
        <w:pStyle w:val="FirstParagraph"/>
      </w:pPr>
      <w:r>
        <w:t xml:space="preserve">All three match your profile on scale, Power BI, and Azure and are available as references.</w:t>
      </w:r>
    </w:p>
    <w:bookmarkEnd w:id="13"/>
    <w:bookmarkEnd w:id="14"/>
    <w:bookmarkStart w:id="19" w:name="commercial-proposal"/>
    <w:p>
      <w:pPr>
        <w:pStyle w:val="Heading2"/>
      </w:pPr>
      <w:r>
        <w:t xml:space="preserve">4. Commercial Proposal</w:t>
      </w:r>
    </w:p>
    <w:p>
      <w:pPr>
        <w:pStyle w:val="FirstParagraph"/>
      </w:pPr>
      <w:r>
        <w:t xml:space="preserve">All pricing is transparent and expressed against published list. Recommended tier:</w:t>
      </w:r>
      <w:r>
        <w:t xml:space="preserve"> </w:t>
      </w:r>
      <w:r>
        <w:rPr>
          <w:b/>
          <w:bCs/>
        </w:rPr>
        <w:t xml:space="preserve">Enterprise</w:t>
      </w:r>
      <w:r>
        <w:t xml:space="preserve"> </w:t>
      </w:r>
      <w:r>
        <w:t xml:space="preserve">(unlimited ingest, unlimited users, 24/7 support, dedicated CSM). List base:</w:t>
      </w:r>
      <w:r>
        <w:t xml:space="preserve"> </w:t>
      </w:r>
      <w:r>
        <w:rPr>
          <w:b/>
          <w:bCs/>
        </w:rPr>
        <w:t xml:space="preserve">$720,000 / year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platform (annual)</w:t>
            </w:r>
          </w:p>
        </w:tc>
        <w:tc>
          <w:tcPr/>
          <w:p>
            <w:pPr>
              <w:pStyle w:val="Compact"/>
            </w:pPr>
            <w:r>
              <w:t xml:space="preserve">$720,000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$540,000</w:t>
            </w:r>
          </w:p>
        </w:tc>
        <w:tc>
          <w:tcPr/>
          <w:p>
            <w:pPr>
              <w:pStyle w:val="Compact"/>
            </w:pPr>
            <w:r>
              <w:t xml:space="preserve">25% strategic discount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 uptime add-on (annual)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~$100,000</w:t>
            </w:r>
          </w:p>
        </w:tc>
        <w:tc>
          <w:tcPr/>
          <w:p>
            <w:pPr>
              <w:pStyle w:val="Compact"/>
            </w:pPr>
            <w:r>
              <w:t xml:space="preserve">Multi-region active-active architecture required to honour 99.99%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~$640,000</w:t>
            </w:r>
          </w:p>
        </w:tc>
        <w:tc>
          <w:tcPr/>
          <w:p>
            <w:pPr>
              <w:pStyle w:val="Compact"/>
            </w:pPr>
            <w:r>
              <w:t xml:space="preserve">Firm for the 3-year initial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initial term (total)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~$1.92M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5-year horizon (incl. 2-year renewal)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~$3.2M</w:t>
            </w:r>
          </w:p>
        </w:tc>
        <w:tc>
          <w:tcPr/>
          <w:p>
            <w:pPr>
              <w:pStyle w:val="Compact"/>
            </w:pPr>
            <w:r>
              <w:t xml:space="preserve">Renewal priced per §4.3</w:t>
            </w:r>
          </w:p>
        </w:tc>
      </w:tr>
    </w:tbl>
    <w:bookmarkStart w:id="15" w:name="discount-position"/>
    <w:p>
      <w:pPr>
        <w:pStyle w:val="Heading3"/>
      </w:pPr>
      <w:r>
        <w:t xml:space="preserve">4.1 Discount position</w:t>
      </w:r>
    </w:p>
    <w:p>
      <w:pPr>
        <w:pStyle w:val="FirstParagraph"/>
      </w:pPr>
      <w:r>
        <w:t xml:space="preserve">Your RFP asks for</w:t>
      </w:r>
      <w:r>
        <w:t xml:space="preserve"> </w:t>
      </w:r>
      <w:r>
        <w:rPr>
          <w:b/>
          <w:bCs/>
        </w:rPr>
        <w:t xml:space="preserve">no less than 35%</w:t>
      </w:r>
      <w:r>
        <w:t xml:space="preserve"> </w:t>
      </w:r>
      <w:r>
        <w:t xml:space="preserve">off list. Our maximum authorised discount in this deal band ($500K–$1M annual) is</w:t>
      </w:r>
      <w:r>
        <w:t xml:space="preserve"> </w:t>
      </w:r>
      <w:r>
        <w:rPr>
          <w:b/>
          <w:bCs/>
        </w:rPr>
        <w:t xml:space="preserve">20% standard / 25% strategic</w:t>
      </w:r>
      <w:r>
        <w:t xml:space="preserve">. We are prepared to extend the</w:t>
      </w:r>
      <w:r>
        <w:t xml:space="preserve"> </w:t>
      </w:r>
      <w:r>
        <w:rPr>
          <w:b/>
          <w:bCs/>
        </w:rPr>
        <w:t xml:space="preserve">full 25% strategic discount</w:t>
      </w:r>
      <w:r>
        <w:t xml:space="preserve">, justified by your 3-year committed term and reference-customer potential (VP Sales sign-off). We cannot reach 35% without eroding the service levels this platform is built to deliver; our value case is 3-year TCO, not the headline number, and that is where we expect to win.</w:t>
      </w:r>
    </w:p>
    <w:bookmarkEnd w:id="15"/>
    <w:bookmarkStart w:id="16" w:name="payment-terms"/>
    <w:p>
      <w:pPr>
        <w:pStyle w:val="Heading3"/>
      </w:pPr>
      <w:r>
        <w:t xml:space="preserve">4.2 Payment terms</w:t>
      </w:r>
    </w:p>
    <w:p>
      <w:pPr>
        <w:pStyle w:val="FirstParagraph"/>
      </w:pPr>
      <w:r>
        <w:t xml:space="preserve">Your RFP requests</w:t>
      </w:r>
      <w:r>
        <w:t xml:space="preserve"> </w:t>
      </w:r>
      <w:r>
        <w:rPr>
          <w:b/>
          <w:bCs/>
        </w:rPr>
        <w:t xml:space="preserve">Net 90</w:t>
      </w:r>
      <w:r>
        <w:t xml:space="preserve">. Our standard is annual-upfront</w:t>
      </w:r>
      <w:r>
        <w:t xml:space="preserve"> </w:t>
      </w:r>
      <w:r>
        <w:rPr>
          <w:b/>
          <w:bCs/>
        </w:rPr>
        <w:t xml:space="preserve">Net 30</w:t>
      </w:r>
      <w:r>
        <w:t xml:space="preserve">. Given Acme’s financial strength, we can offer</w:t>
      </w:r>
      <w:r>
        <w:t xml:space="preserve"> </w:t>
      </w:r>
      <w:r>
        <w:rPr>
          <w:b/>
          <w:bCs/>
        </w:rPr>
        <w:t xml:space="preserve">Net 60</w:t>
      </w:r>
      <w:r>
        <w:t xml:space="preserve"> </w:t>
      </w:r>
      <w:r>
        <w:t xml:space="preserve">as a concession. Net 90 is outside policy.</w:t>
      </w:r>
    </w:p>
    <w:bookmarkEnd w:id="16"/>
    <w:bookmarkStart w:id="17" w:name="term-and-price-protection"/>
    <w:p>
      <w:pPr>
        <w:pStyle w:val="Heading3"/>
      </w:pPr>
      <w:r>
        <w:t xml:space="preserve">4.3 Term and price protection</w:t>
      </w:r>
    </w:p>
    <w:p>
      <w:pPr>
        <w:pStyle w:val="FirstParagraph"/>
      </w:pPr>
      <w:r>
        <w:t xml:space="preserve">We will hold the annual price</w:t>
      </w:r>
      <w:r>
        <w:t xml:space="preserve"> </w:t>
      </w:r>
      <w:r>
        <w:rPr>
          <w:b/>
          <w:bCs/>
        </w:rPr>
        <w:t xml:space="preserve">firm for the full 3-year initial term with no escalators</w:t>
      </w:r>
      <w:r>
        <w:t xml:space="preserve">. For the 2-year renewal, we propose a modest CPI-linked adjustment</w:t>
      </w:r>
      <w:r>
        <w:t xml:space="preserve"> </w:t>
      </w:r>
      <w:r>
        <w:rPr>
          <w:b/>
          <w:bCs/>
        </w:rPr>
        <w:t xml:space="preserve">capped at 5%</w:t>
      </w:r>
      <w:r>
        <w:t xml:space="preserve"> </w:t>
      </w:r>
      <w:r>
        <w:t xml:space="preserve">rather than a fixed 5-year freeze; a genuinely fixed 5-year price normally requires an escalator to underwrite, so the cap is our compromise that still gives you full budget visibility.</w:t>
      </w:r>
    </w:p>
    <w:bookmarkEnd w:id="17"/>
    <w:bookmarkStart w:id="18" w:name="concessions-we-will-make"/>
    <w:p>
      <w:pPr>
        <w:pStyle w:val="Heading3"/>
      </w:pPr>
      <w:r>
        <w:t xml:space="preserve">4.4 Concessions we will make</w:t>
      </w:r>
    </w:p>
    <w:p>
      <w:pPr>
        <w:pStyle w:val="Compact"/>
        <w:numPr>
          <w:ilvl w:val="0"/>
          <w:numId w:val="1005"/>
        </w:numPr>
      </w:pPr>
      <w:r>
        <w:t xml:space="preserve">PoC/pilot fees credited toward Year 1.</w:t>
      </w:r>
    </w:p>
    <w:p>
      <w:pPr>
        <w:pStyle w:val="Compact"/>
        <w:numPr>
          <w:ilvl w:val="0"/>
          <w:numId w:val="1005"/>
        </w:numPr>
      </w:pPr>
      <w:r>
        <w:t xml:space="preserve">Acceptance-testing period up to 30 days.</w:t>
      </w:r>
    </w:p>
    <w:p>
      <w:pPr>
        <w:pStyle w:val="Compact"/>
        <w:numPr>
          <w:ilvl w:val="0"/>
          <w:numId w:val="1005"/>
        </w:numPr>
      </w:pPr>
      <w:r>
        <w:t xml:space="preserve">Year-end volume true-up with a 10% buffer above committed volume.</w:t>
      </w:r>
    </w:p>
    <w:p>
      <w:pPr>
        <w:pStyle w:val="Compact"/>
        <w:numPr>
          <w:ilvl w:val="0"/>
          <w:numId w:val="1005"/>
        </w:numPr>
      </w:pPr>
      <w:r>
        <w:t xml:space="preserve">Custom MSA (deal is above $500K), with legal sign-off.</w:t>
      </w:r>
    </w:p>
    <w:bookmarkEnd w:id="18"/>
    <w:bookmarkEnd w:id="19"/>
    <w:bookmarkStart w:id="20" w:name="contract-approach"/>
    <w:p>
      <w:pPr>
        <w:pStyle w:val="Heading2"/>
      </w:pPr>
      <w:r>
        <w:t xml:space="preserve">5. Contract Approach</w:t>
      </w:r>
    </w:p>
    <w:p>
      <w:pPr>
        <w:pStyle w:val="FirstParagraph"/>
      </w:pPr>
      <w:r>
        <w:t xml:space="preserve">We have reviewed your contractual terms against our standard positions. We flag the following, with counter-positions, in the spirit of surfacing everything now rather than re-trading later. Items marked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are terms we cannot accept as written under our insurance and corporate policy.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Your term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Our counter-position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Uncapped liability for data breach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Liability capped at</w:t>
            </w:r>
            <w:r>
              <w:t xml:space="preserve"> </w:t>
            </w:r>
            <w:r>
              <w:rPr>
                <w:b/>
                <w:bCs/>
              </w:rPr>
              <w:t xml:space="preserve">24 months of fees</w:t>
            </w:r>
            <w:r>
              <w:t xml:space="preserve">, with mutual carve-outs for IP infringement and gross negligence. Uncapped liability voids our cyber-insurance ceiling.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Uncapped indemnity for regulatory fines &amp; reputational damages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Indemnity capped at</w:t>
            </w:r>
            <w:r>
              <w:t xml:space="preserve"> </w:t>
            </w:r>
            <w:r>
              <w:rPr>
                <w:b/>
                <w:bCs/>
              </w:rPr>
              <w:t xml:space="preserve">24 months of fees</w:t>
            </w:r>
            <w:r>
              <w:t xml:space="preserve"> </w:t>
            </w:r>
            <w:r>
              <w:t xml:space="preserve">with defined carve-outs; reputational damages excluded as uninsurable.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Most-Favoured-Nation 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 (redlined)</w:t>
            </w:r>
          </w:p>
        </w:tc>
        <w:tc>
          <w:tcPr/>
          <w:p>
            <w:pPr>
              <w:pStyle w:val="Compact"/>
            </w:pPr>
            <w:r>
              <w:t xml:space="preserve">Removed entirely. MFN is incompatible with SaaS list pricing; we decline rather than agree and breach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All work product vests in Acme on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We retain IP in our underlying service; any Acme-specific custom work is</w:t>
            </w:r>
            <w:r>
              <w:t xml:space="preserve"> </w:t>
            </w:r>
            <w:r>
              <w:rPr>
                <w:b/>
                <w:bCs/>
              </w:rPr>
              <w:t xml:space="preserve">licensed back to Acme</w:t>
            </w:r>
            <w:r>
              <w:t xml:space="preserve"> </w:t>
            </w:r>
            <w:r>
              <w:t xml:space="preserve">(the model Stark Industries accepted). Your data remains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Immediate termination on any SLA miss + full monthly refund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Service credits up to 30% of monthly fees as sole remedy; termination for material breach with a</w:t>
            </w:r>
            <w:r>
              <w:t xml:space="preserve"> </w:t>
            </w:r>
            <w:r>
              <w:rPr>
                <w:b/>
                <w:bCs/>
              </w:rPr>
              <w:t xml:space="preserve">30-day cure period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Prior written consent for every subprocessor (sole discretion)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Public subprocessor list;</w:t>
            </w:r>
            <w:r>
              <w:t xml:space="preserve"> </w:t>
            </w:r>
            <w:r>
              <w:rPr>
                <w:b/>
                <w:bCs/>
              </w:rPr>
              <w:t xml:space="preserve">30-day advance notice</w:t>
            </w:r>
            <w:r>
              <w:t xml:space="preserve"> </w:t>
            </w:r>
            <w:r>
              <w:t xml:space="preserve">of new subprocessors; right to object with substitute-or-terminate. Per-subprocessor veto is operationally unworkable.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Unannounced audits, up to 4×/year, vendor pays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audit per year with 30 days’ notice</w:t>
            </w:r>
            <w:r>
              <w:t xml:space="preserve">, under confidentiality; Acme pays for audits beyond the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99.99% uptime demanded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  <w:r>
              <w:t xml:space="preserve"> </w:t>
            </w:r>
            <w:r>
              <w:rPr>
                <w:b/>
                <w:bCs/>
              </w:rPr>
              <w:t xml:space="preserve">only via the multi-region active-active add-on</w:t>
            </w:r>
            <w:r>
              <w:t xml:space="preserve"> </w:t>
            </w:r>
            <w:r>
              <w:t xml:space="preserve">(§4). Standard Enterprise SLA is 99.95%.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Termination for convenience on 30 days’ notice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Acceptable in principle; we ask for</w:t>
            </w:r>
            <w:r>
              <w:t xml:space="preserve"> </w:t>
            </w:r>
            <w:r>
              <w:rPr>
                <w:b/>
                <w:bCs/>
              </w:rPr>
              <w:t xml:space="preserve">60 days’</w:t>
            </w:r>
            <w:r>
              <w:t xml:space="preserve"> </w:t>
            </w:r>
            <w:r>
              <w:t xml:space="preserve">notice. Refunds pro-rated; no penalty fees either 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5-year fixed price, no escalators</w:t>
            </w:r>
          </w:p>
        </w:tc>
        <w:tc>
          <w:tcPr/>
          <w:p>
            <w:pPr>
              <w:pStyle w:val="Compact"/>
            </w:pPr>
            <w:r>
              <w:t xml:space="preserve">(commercial)</w:t>
            </w:r>
          </w:p>
        </w:tc>
        <w:tc>
          <w:tcPr/>
          <w:p>
            <w:pPr>
              <w:pStyle w:val="Compact"/>
            </w:pPr>
            <w:r>
              <w:t xml:space="preserve">Firm for the 3-year initial term; CPI-capped adjustment on renewal (§4.3).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Multi-region processing (EU + US East)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Supported via per-table residency; flagged for DPA review.</w:t>
            </w:r>
          </w:p>
        </w:tc>
      </w:tr>
    </w:tbl>
    <w:bookmarkEnd w:id="20"/>
    <w:bookmarkStart w:id="21" w:name="risks-and-how-we-mitigate-them"/>
    <w:p>
      <w:pPr>
        <w:pStyle w:val="Heading2"/>
      </w:pPr>
      <w:r>
        <w:t xml:space="preserve">6. Risks and How We Mitigate Them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Contractual blockers (liability, MFN, IP, terminate-on-SLA-miss).</w:t>
      </w:r>
      <w:r>
        <w:t xml:space="preserve"> </w:t>
      </w:r>
      <w:r>
        <w:t xml:space="preserve">These are the main risk to a signable deal. Mitigation: table our counter-positions early, route to VP-level approval, and negotiate as a package — each has a well-precedented compromise (see comparable deals).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99.99% SLA gap.</w:t>
      </w:r>
      <w:r>
        <w:t xml:space="preserve"> </w:t>
      </w:r>
      <w:r>
        <w:t xml:space="preserve">Our standard is 99.95%. Mitigation: the multi-region active-active add-on, which also satisfies your EU-primary / US-secondary topology, so the architecture does double duty.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Aggressive price expectation (35% ask).</w:t>
      </w:r>
      <w:r>
        <w:t xml:space="preserve"> </w:t>
      </w:r>
      <w:r>
        <w:t xml:space="preserve">Mitigation: reframe the evaluation onto 3-year TCO at Acme’s real workload — the ground on which we beat Snowflake (Globex) and Microsoft (Initech).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Migration complexity (Teradata decommission, 30+ sources, multi-region).</w:t>
      </w:r>
      <w:r>
        <w:t xml:space="preserve"> </w:t>
      </w:r>
      <w:r>
        <w:t xml:space="preserve">Typical timeline for a migration of this size is ~16–24 weeks. Mitigation: phased plan — first production workload in ~8 weeks on clean sources, CDC-based Teradata migration in parallel, full cutover by ~24 weeks.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 terms (Net 90 ask).</w:t>
      </w:r>
      <w:r>
        <w:t xml:space="preserve"> </w:t>
      </w:r>
      <w:r>
        <w:t xml:space="preserve">Mitigation: offer Net 60 as the concession; hold the line on Net 90.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proposal is commercial-in-confidence. Pricing reflects proposed positions subject to final contract and internal approvals.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2026-07-02T01:10:53Z</dcterms:created>
  <dcterms:modified xsi:type="dcterms:W3CDTF">2026-07-02T01:10:53Z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