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Blanket Thickness Key Takeaways: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TBR increases with blanket thickness, beginning quickly before levelling out at around 400-600mm. This reflects the literature, where most blanket modules are 500mm deep (a few at 700mm). Increasing the breeder depth beyond this leads to a negligible increase in TBR. </w:t>
      </w:r>
      <w:r w:rsidDel="00000000" w:rsidR="00000000" w:rsidRPr="00000000">
        <w:rPr>
          <w:sz w:val="24"/>
          <w:szCs w:val="24"/>
          <w:rtl w:val="0"/>
        </w:rPr>
        <w:t xml:space="preserve">(Lei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et al.</w:t>
      </w:r>
      <w:r w:rsidDel="00000000" w:rsidR="00000000" w:rsidRPr="00000000">
        <w:rPr>
          <w:sz w:val="24"/>
          <w:szCs w:val="24"/>
          <w:rtl w:val="0"/>
        </w:rPr>
        <w:t xml:space="preserve">, 2020; Liu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et al.</w:t>
      </w:r>
      <w:r w:rsidDel="00000000" w:rsidR="00000000" w:rsidRPr="00000000">
        <w:rPr>
          <w:sz w:val="24"/>
          <w:szCs w:val="24"/>
          <w:rtl w:val="0"/>
        </w:rPr>
        <w:t xml:space="preserve">, 2022)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