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u w:val="single"/>
        </w:rPr>
      </w:pPr>
      <w:r w:rsidDel="00000000" w:rsidR="00000000" w:rsidRPr="00000000">
        <w:rPr>
          <w:b w:val="1"/>
          <w:bCs w:val="1"/>
          <w:sz w:val="24"/>
          <w:szCs w:val="24"/>
          <w:u w:val="single"/>
          <w:rtl w:val="0"/>
        </w:rPr>
        <w:t xml:space="preserve">Coolant Key Takeaways: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Helium and Nitrogen as coolant fraction increases the TBR decreases. This is what we expect since there is less breeder material. However for water the TBR increases before declining. This is due to the neutron moderation properties of water. The tritium production cross section of lithium-6 is significantly higher at lower incident neutron energies. Thus, by moderating the neutrons we can get a higher TBR. We can show this by plotting incident neutron energy against TBR contribution. The nitrogen and helium curves are essentially identical however the water plot is significantly shifted towards lower energies. Helium and nitrogen do have some scattering properties, which can be seen by comparing their plots to the plot without a coolant.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