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First Wall Key Takeaways: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rtl w:val="0"/>
        </w:rPr>
        <w:t xml:space="preserve">Standard first wall thickness of roughly 20-30mm found in literature. </w:t>
      </w:r>
      <w:r w:rsidDel="00000000" w:rsidR="00000000" w:rsidRPr="00000000">
        <w:rPr>
          <w:b w:val="1"/>
          <w:bCs w:val="1"/>
          <w:rtl w:val="0"/>
        </w:rPr>
        <w:t xml:space="preserve">Average value of 25mm </w:t>
      </w:r>
      <w:r w:rsidDel="00000000" w:rsidR="00000000" w:rsidRPr="00000000">
        <w:rPr>
          <w:rtl w:val="0"/>
        </w:rPr>
        <w:t xml:space="preserve">chosen for the simulation (Chen et al. 2015; Lei et al 2020; Boullon et al 2021). As expected, as the first wall thickness increases the TBR decreases as more neutrons are absorbed in the first wall. EUROFER has the best material properties generally however it has a much lower TBR. The best performing material from a TBR perspective is the Zirconium-4 alloy.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