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u w:val="single"/>
        </w:rPr>
      </w:pPr>
      <w:r w:rsidDel="00000000" w:rsidR="00000000" w:rsidRPr="00000000">
        <w:rPr>
          <w:b w:val="1"/>
          <w:bCs w:val="1"/>
          <w:sz w:val="26"/>
          <w:szCs w:val="26"/>
          <w:u w:val="single"/>
          <w:rtl w:val="0"/>
        </w:rPr>
        <w:t xml:space="preserve">Materials Key Takeaways: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u w:val="single"/>
        </w:rPr>
      </w:pPr>
      <w:r w:rsidDel="00000000" w:rsidR="00000000" w:rsidRPr="00000000">
        <w:rPr>
          <w:b w:val="1"/>
          <w:bCs w:val="1"/>
          <w:u w:val="single"/>
          <w:rtl w:val="0"/>
        </w:rPr>
        <w:t xml:space="preserve">Liquids: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Eutectic Lithium-Lead has the highest TBR by a long way which is expected and reflects the literature (Goel et al 2023; Segantin, Testoni and Zuchetti 2020). However, the molten metal breeders produce significant Magnetohydrodynamic currents. To reduce this we can use molten salts. Of the halide salts the best performing are the fluorine salts due to their low scattering and absorption cross sections. When we performed these simulations with a thicker first wall it was chlorine that was the next best tritium producer then bromine, however, with a more realistic first wall thickness bromine performs better. It is likely that the chlorine salts loses as significant amount of neutrons while the bromine acts like a moderator, scattering neutrons and leading to more tritium production. This is why fluorine salts are the subject of most molten salt research.</w:t>
      </w:r>
    </w:p>
    <w:p w:rsidR="00000000" w:rsidDel="00000000" w:rsidP="00000000" w:rsidRDefault="00000000" w:rsidRPr="00000000" w14:paraId="00000005">
      <w:pPr>
        <w:rPr/>
      </w:pPr>
      <w:r w:rsidDel="00000000" w:rsidR="00000000" w:rsidRPr="00000000">
        <w:rPr>
          <w:rtl w:val="0"/>
        </w:rPr>
        <w:t xml:space="preserve">The thinner first wall leads to more neutron leakage in most of the blankets except the lithium lead which, due to the large lead fraction, is much less likely to lose neutrons.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Heating tends to increase with TBR since the largest contribution to TBR is the exothermic lithium-6 interaction. There are a few outliers to this trend. The first of these are the bromine salts which, due to the very high absorption cross section, produces significantly more heat than compounds with similar TBR’s. The other outlier is the eutectic lithium-lead which has a very high TBR but a lower than expected heating due to the high lead fraction. The lead leads to a high TBR as a result of neutron multiplication but is generally endothermic.</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Pure lithium, LiF and LiN3 (and to a lesser extent LiF-LiI2) have significant Li-7 TBR contributions due to the lack of a dedicated breeder element within the compound.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u w:val="single"/>
        </w:rPr>
      </w:pPr>
      <w:r w:rsidDel="00000000" w:rsidR="00000000" w:rsidRPr="00000000">
        <w:rPr>
          <w:b w:val="1"/>
          <w:bCs w:val="1"/>
          <w:u w:val="single"/>
          <w:rtl w:val="0"/>
        </w:rPr>
        <w:t xml:space="preserve">Solids:</w:t>
      </w:r>
    </w:p>
    <w:p w:rsidR="00000000" w:rsidDel="00000000" w:rsidP="00000000" w:rsidRDefault="00000000" w:rsidRPr="00000000" w14:paraId="0000000C">
      <w:pPr>
        <w:rPr/>
      </w:pPr>
      <w:r w:rsidDel="00000000" w:rsidR="00000000" w:rsidRPr="00000000">
        <w:rPr>
          <w:rtl w:val="0"/>
        </w:rPr>
        <w:t xml:space="preserve">The variation between solid ceramics is much lower than that of the liquid compounds because the compounds are very similar, being mostly lithium and oxygen with a different metal. The large beryllium titanate (multiplier) fraction means that fewer neutrons are lost thus the solid compounds generally have higher TBR’s.</w:t>
      </w:r>
    </w:p>
    <w:p w:rsidR="00000000" w:rsidDel="00000000" w:rsidP="00000000" w:rsidRDefault="00000000" w:rsidRPr="00000000" w14:paraId="0000000D">
      <w:pPr>
        <w:rPr/>
      </w:pPr>
      <w:r w:rsidDel="00000000" w:rsidR="00000000" w:rsidRPr="00000000">
        <w:rPr>
          <w:rtl w:val="0"/>
        </w:rPr>
        <w:t xml:space="preserve">Once again increased heating correlates with a higher TBR. A few outliers like cobalt have lower than expected TBR due to higher absorption and scattering cross sections for those elements. The cerium ceramic has the highest TBR as a result of its low interaction cross sections.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