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B4890F"/>
          <w:sz w:val="20"/>
          <w:szCs w:val="20"/>
        </w:rPr>
        <w:t xml:space="preserve">PROJECT REPORT</w:t>
      </w:r>
    </w:p>
    <w:p>
      <w:pPr>
        <w:pStyle w:val="Title"/>
        <w:spacing w:after="60"/>
        <w:jc w:val="center"/>
      </w:pPr>
      <w:r>
        <w:rPr>
          <w:b/>
          <w:bCs/>
          <w:color w:val="16261C"/>
        </w:rPr>
        <w:t xml:space="preserve">PantryChef AI</w:t>
      </w:r>
    </w:p>
    <w:p>
      <w:pPr>
        <w:spacing w:after="40"/>
        <w:jc w:val="center"/>
      </w:pPr>
      <w:r>
        <w:rPr>
          <w:i/>
          <w:iCs/>
          <w:color w:val="5B5240"/>
          <w:sz w:val="22"/>
          <w:szCs w:val="22"/>
        </w:rPr>
        <w:t xml:space="preserve">Vibe Coding: Building &amp; Deploying an AI Web Application on AWS</w:t>
      </w:r>
    </w:p>
    <w:p>
      <w:pPr>
        <w:spacing w:after="300"/>
        <w:jc w:val="center"/>
      </w:pPr>
      <w:r>
        <w:rPr>
          <w:color w:val="5B5240"/>
          <w:sz w:val="20"/>
          <w:szCs w:val="20"/>
        </w:rPr>
        <w:t xml:space="preserve">Team: [names]   ·   Date: [submission date]   ·   Live URL: [AWS URL]</w:t>
      </w:r>
    </w:p>
    <w:p>
      <w:pPr>
        <w:pStyle w:val="Heading1"/>
        <w:spacing w:after="140" w:before="320"/>
      </w:pPr>
      <w:r>
        <w:rPr>
          <w:b/>
          <w:bCs/>
          <w:color w:val="16261C"/>
        </w:rPr>
        <w:t xml:space="preserve">1. Application Overview &amp; Tech Stack</w:t>
      </w:r>
    </w:p>
    <w:p>
      <w:pPr>
        <w:spacing w:after="120"/>
      </w:pPr>
      <w:r>
        <w:rPr>
          <w:sz w:val="22"/>
          <w:szCs w:val="22"/>
        </w:rPr>
        <w:t>PantryChef AI lets a user list the ingredients they currently have, along with optional dietary restrictions, a cuisine preference, and a serving size, and receive one complete recipe generated live by Google Gemini. A follow-up chat panel ("Ask Chef Nova") lets the user ask substitution or technique questions with the generated recipe kept as conversational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940"/>
      </w:tblGrid>
      <w:tr>
        <w:tc>
          <w:tcPr>
            <w:tcW w:type="pct" w:w="29%"/>
            <w:shd w:fill="F3ECD8" w:color="auto" w:val="clear"/>
            <w:tcMar>
              <w:top w:type="dxa" w:w="90"/>
              <w:left w:type="dxa" w:w="110"/>
              <w:bottom w:type="dxa" w:w="90"/>
              <w:right w:type="dxa" w:w="110"/>
            </w:tcMar>
          </w:tcPr>
          <w:p>
            <w:r>
              <w:rPr>
                <w:b/>
                <w:bCs/>
                <w:sz w:val="20"/>
                <w:szCs w:val="20"/>
              </w:rPr>
              <w:t xml:space="preserve">Layer</w:t>
            </w:r>
          </w:p>
        </w:tc>
        <w:tc>
          <w:tcPr>
            <w:tcW w:type="pct" w:w="71%"/>
            <w:shd w:fill="F3ECD8" w:color="auto" w:val="clear"/>
            <w:tcMar>
              <w:top w:type="dxa" w:w="90"/>
              <w:left w:type="dxa" w:w="110"/>
              <w:bottom w:type="dxa" w:w="90"/>
              <w:right w:type="dxa" w:w="110"/>
            </w:tcMar>
          </w:tcPr>
          <w:p>
            <w:r>
              <w:rPr>
                <w:b/>
                <w:bCs/>
                <w:sz w:val="20"/>
                <w:szCs w:val="20"/>
              </w:rPr>
              <w:t xml:space="preserve">Choice</w:t>
            </w:r>
          </w:p>
        </w:tc>
      </w:tr>
      <w:tr>
        <w:tc>
          <w:tcPr>
            <w:tcW w:type="pct" w:w="29%"/>
            <w:tcMar>
              <w:top w:type="dxa" w:w="90"/>
              <w:left w:type="dxa" w:w="110"/>
              <w:bottom w:type="dxa" w:w="90"/>
              <w:right w:type="dxa" w:w="110"/>
            </w:tcMar>
          </w:tcPr>
          <w:p>
            <w:r>
              <w:rPr>
                <w:b w:val="false"/>
                <w:bCs w:val="false"/>
                <w:sz w:val="20"/>
                <w:szCs w:val="20"/>
              </w:rPr>
              <w:t xml:space="preserve">Frontend</w:t>
            </w:r>
          </w:p>
        </w:tc>
        <w:tc>
          <w:tcPr>
            <w:tcW w:type="pct" w:w="71%"/>
            <w:tcMar>
              <w:top w:type="dxa" w:w="90"/>
              <w:left w:type="dxa" w:w="110"/>
              <w:bottom w:type="dxa" w:w="90"/>
              <w:right w:type="dxa" w:w="110"/>
            </w:tcMar>
          </w:tcPr>
          <w:p>
            <w:r>
              <w:rPr>
                <w:b w:val="false"/>
                <w:bCs w:val="false"/>
                <w:sz w:val="20"/>
                <w:szCs w:val="20"/>
              </w:rPr>
              <w:t xml:space="preserve">Vanilla HTML/CSS/JavaScript, no build tooling, responsive grid layout</w:t>
            </w:r>
          </w:p>
        </w:tc>
      </w:tr>
      <w:tr>
        <w:tc>
          <w:tcPr>
            <w:tcW w:type="pct" w:w="29%"/>
            <w:tcMar>
              <w:top w:type="dxa" w:w="90"/>
              <w:left w:type="dxa" w:w="110"/>
              <w:bottom w:type="dxa" w:w="90"/>
              <w:right w:type="dxa" w:w="110"/>
            </w:tcMar>
          </w:tcPr>
          <w:p>
            <w:r>
              <w:rPr>
                <w:b w:val="false"/>
                <w:bCs w:val="false"/>
                <w:sz w:val="20"/>
                <w:szCs w:val="20"/>
              </w:rPr>
              <w:t xml:space="preserve">Backend</w:t>
            </w:r>
          </w:p>
        </w:tc>
        <w:tc>
          <w:tcPr>
            <w:tcW w:type="pct" w:w="71%"/>
            <w:tcMar>
              <w:top w:type="dxa" w:w="90"/>
              <w:left w:type="dxa" w:w="110"/>
              <w:bottom w:type="dxa" w:w="90"/>
              <w:right w:type="dxa" w:w="110"/>
            </w:tcMar>
          </w:tcPr>
          <w:p>
            <w:r>
              <w:rPr>
                <w:b w:val="false"/>
                <w:bCs w:val="false"/>
                <w:sz w:val="20"/>
                <w:szCs w:val="20"/>
              </w:rPr>
              <w:t xml:space="preserve">Python FastAPI served by Uvicorn</w:t>
            </w:r>
          </w:p>
        </w:tc>
      </w:tr>
      <w:tr>
        <w:tc>
          <w:tcPr>
            <w:tcW w:type="pct" w:w="29%"/>
            <w:tcMar>
              <w:top w:type="dxa" w:w="90"/>
              <w:left w:type="dxa" w:w="110"/>
              <w:bottom w:type="dxa" w:w="90"/>
              <w:right w:type="dxa" w:w="110"/>
            </w:tcMar>
          </w:tcPr>
          <w:p>
            <w:r>
              <w:rPr>
                <w:b w:val="false"/>
                <w:bCs w:val="false"/>
                <w:sz w:val="20"/>
                <w:szCs w:val="20"/>
              </w:rPr>
              <w:t xml:space="preserve">LLM</w:t>
            </w:r>
          </w:p>
        </w:tc>
        <w:tc>
          <w:tcPr>
            <w:tcW w:type="pct" w:w="71%"/>
            <w:tcMar>
              <w:top w:type="dxa" w:w="90"/>
              <w:left w:type="dxa" w:w="110"/>
              <w:bottom w:type="dxa" w:w="90"/>
              <w:right w:type="dxa" w:w="110"/>
            </w:tcMar>
          </w:tcPr>
          <w:p>
            <w:r>
              <w:rPr>
                <w:b w:val="false"/>
                <w:bCs w:val="false"/>
                <w:sz w:val="20"/>
                <w:szCs w:val="20"/>
              </w:rPr>
              <w:t>Google Gemini (gemini-2.5-flash) via the google-generativeai Python SDK, streamed</w:t>
            </w:r>
          </w:p>
        </w:tc>
      </w:tr>
      <w:tr>
        <w:tc>
          <w:tcPr>
            <w:tcW w:type="pct" w:w="29%"/>
            <w:tcMar>
              <w:top w:type="dxa" w:w="90"/>
              <w:left w:type="dxa" w:w="110"/>
              <w:bottom w:type="dxa" w:w="90"/>
              <w:right w:type="dxa" w:w="110"/>
            </w:tcMar>
          </w:tcPr>
          <w:p>
            <w:r>
              <w:rPr>
                <w:b w:val="false"/>
                <w:bCs w:val="false"/>
                <w:sz w:val="20"/>
                <w:szCs w:val="20"/>
              </w:rPr>
              <w:t xml:space="preserve">Container</w:t>
            </w:r>
          </w:p>
        </w:tc>
        <w:tc>
          <w:tcPr>
            <w:tcW w:type="pct" w:w="71%"/>
            <w:tcMar>
              <w:top w:type="dxa" w:w="90"/>
              <w:left w:type="dxa" w:w="110"/>
              <w:bottom w:type="dxa" w:w="90"/>
              <w:right w:type="dxa" w:w="110"/>
            </w:tcMar>
          </w:tcPr>
          <w:p>
            <w:r>
              <w:rPr>
                <w:b w:val="false"/>
                <w:bCs w:val="false"/>
                <w:sz w:val="20"/>
                <w:szCs w:val="20"/>
              </w:rPr>
              <w:t xml:space="preserve">Docker, single image, non-root user, built-in health check</w:t>
            </w:r>
          </w:p>
        </w:tc>
      </w:tr>
      <w:tr>
        <w:tc>
          <w:tcPr>
            <w:tcW w:type="pct" w:w="29%"/>
            <w:tcMar>
              <w:top w:type="dxa" w:w="90"/>
              <w:left w:type="dxa" w:w="110"/>
              <w:bottom w:type="dxa" w:w="90"/>
              <w:right w:type="dxa" w:w="110"/>
            </w:tcMar>
          </w:tcPr>
          <w:p>
            <w:r>
              <w:rPr>
                <w:b w:val="false"/>
                <w:bCs w:val="false"/>
                <w:sz w:val="20"/>
                <w:szCs w:val="20"/>
              </w:rPr>
              <w:t xml:space="preserve">Cloud</w:t>
            </w:r>
          </w:p>
        </w:tc>
        <w:tc>
          <w:tcPr>
            <w:tcW w:type="pct" w:w="71%"/>
            <w:tcMar>
              <w:top w:type="dxa" w:w="90"/>
              <w:left w:type="dxa" w:w="110"/>
              <w:bottom w:type="dxa" w:w="90"/>
              <w:right w:type="dxa" w:w="110"/>
            </w:tcMar>
          </w:tcPr>
          <w:p>
            <w:r>
              <w:rPr>
                <w:b w:val="false"/>
                <w:bCs w:val="false"/>
                <w:sz w:val="20"/>
                <w:szCs w:val="20"/>
              </w:rPr>
              <w:t xml:space="preserve">AWS App Runner (primary) / Elastic Beanstalk Docker platform (alternative)</w:t>
            </w:r>
          </w:p>
        </w:tc>
      </w:tr>
    </w:tbl>
    <w:p>
      <w:pPr>
        <w:pStyle w:val="Heading1"/>
        <w:spacing w:after="140" w:before="320"/>
      </w:pPr>
      <w:r>
        <w:rPr>
          <w:b/>
          <w:bCs/>
          <w:color w:val="16261C"/>
        </w:rPr>
        <w:t xml:space="preserve">2. Prompting Strategy &amp; Frameworks Used</w:t>
      </w:r>
    </w:p>
    <w:p>
      <w:pPr>
        <w:spacing w:after="120"/>
      </w:pPr>
      <w:r>
        <w:rPr>
          <w:sz w:val="22"/>
          <w:szCs w:val="22"/>
        </w:rPr>
        <w:t>Development followed a Vibe Coding approach: rather than hand-writing every line, the application scaffold, styling system, and streaming plumbing were produced through iterative natural-language prompts to an AI coding assistant, then reviewed and adjusted. Two categories of prompts were used: (a) build-time prompts, given to the AI coding assistant to scaffold and refine the application, and (b) runtime system prompts, which shape how Gemini behaves inside the deployed app itself.</w:t>
      </w:r>
    </w:p>
    <w:p>
      <w:pPr>
        <w:pStyle w:val="Heading2"/>
        <w:spacing w:after="100" w:before="220"/>
      </w:pPr>
      <w:r>
        <w:rPr>
          <w:b/>
          <w:bCs/>
          <w:color w:val="5B5240"/>
          <w:sz w:val="24"/>
          <w:szCs w:val="24"/>
        </w:rPr>
        <w:t xml:space="preserve">2.1 Sample build-time prompts</w:t>
      </w:r>
    </w:p>
    <w:p>
      <w:pPr>
        <w:pStyle w:val="ListParagraph"/>
        <w:numPr>
          <w:ilvl w:val="0"/>
          <w:numId w:val="1"/>
        </w:numPr>
        <w:spacing w:after="60"/>
      </w:pPr>
      <w:r>
        <w:rPr>
          <w:sz w:val="22"/>
          <w:szCs w:val="22"/>
        </w:rPr>
        <w:t>"Build a FastAPI backend with a /api/generate endpoint that streams a Gemini-generated recipe as plain text chunks, reading the API key from an environment variable and never exposing it to the frontend."</w:t>
      </w:r>
    </w:p>
    <w:p>
      <w:pPr>
        <w:pStyle w:val="ListParagraph"/>
        <w:numPr>
          <w:ilvl w:val="0"/>
          <w:numId w:val="1"/>
        </w:numPr>
        <w:spacing w:after="60"/>
      </w:pPr>
      <w:r>
        <w:rPr>
          <w:sz w:val="22"/>
          <w:szCs w:val="22"/>
        </w:rPr>
        <w:t xml:space="preserve">"Design a responsive single-page frontend styled like a recipe card pinned to a kitchen corkboard, with a left-hand input form and a right-hand card that fills in as the response streams."</w:t>
      </w:r>
    </w:p>
    <w:p>
      <w:pPr>
        <w:pStyle w:val="ListParagraph"/>
        <w:numPr>
          <w:ilvl w:val="0"/>
          <w:numId w:val="1"/>
        </w:numPr>
        <w:spacing w:after="60"/>
      </w:pPr>
      <w:r>
        <w:rPr>
          <w:sz w:val="22"/>
          <w:szCs w:val="22"/>
        </w:rPr>
        <w:t xml:space="preserve">"Add a follow-up chat panel that reuses the currently displayed recipe as context, so the user doesn't have to repeat their ingredients."</w:t>
      </w:r>
    </w:p>
    <w:p>
      <w:pPr>
        <w:pStyle w:val="ListParagraph"/>
        <w:numPr>
          <w:ilvl w:val="0"/>
          <w:numId w:val="1"/>
        </w:numPr>
        <w:spacing w:after="60"/>
      </w:pPr>
      <w:r>
        <w:rPr>
          <w:sz w:val="22"/>
          <w:szCs w:val="22"/>
        </w:rPr>
        <w:t xml:space="preserve">"Write a Dockerfile that installs backend dependencies, copies the frontend as static files, runs as a non-root user, and exposes a health-check endpoint for AWS."</w:t>
      </w:r>
    </w:p>
    <w:p>
      <w:pPr>
        <w:pStyle w:val="Heading2"/>
        <w:spacing w:after="100" w:before="220"/>
      </w:pPr>
      <w:r>
        <w:rPr>
          <w:b/>
          <w:bCs/>
          <w:color w:val="5B5240"/>
          <w:sz w:val="24"/>
          <w:szCs w:val="24"/>
        </w:rPr>
        <w:t xml:space="preserve">2.2 Runtime system prompt — recipe generation</w:t>
      </w:r>
    </w:p>
    <w:p>
      <w:pPr>
        <w:shd w:fill="F3ECD8" w:color="auto" w:val="clear"/>
        <w:spacing w:after="160" w:before="60"/>
      </w:pPr>
      <w:r>
        <w:rPr>
          <w:rFonts w:ascii="Consolas" w:cs="Consolas" w:eastAsia="Consolas" w:hAnsi="Consolas"/>
          <w:color w:val="241C11"/>
          <w:sz w:val="19"/>
          <w:szCs w:val="19"/>
        </w:rPr>
        <w:t xml:space="preserve">You are Chef Nova, the in-app cooking assistant for PantryChef AI.
Given ingredients the user already has, dietary restrictions, a cuisine
preference, and a serving size, invent ONE achievable recipe using mostly
those ingredients... Respond in markdown in this shape:
# &lt;Recipe Name&gt; / ## Ingredients / ## Steps / ## Chef's Tip</w:t>
      </w:r>
    </w:p>
    <w:p>
      <w:pPr>
        <w:spacing w:after="120"/>
      </w:pPr>
      <w:r>
        <w:rPr>
          <w:sz w:val="22"/>
          <w:szCs w:val="22"/>
        </w:rPr>
        <w:t>This prompt constrains Gemini to a single, predictable structure so the frontend's lightweight markdown renderer can reliably turn the stream into a formatted recipe card without a heavyweight markdown library.</w:t>
      </w:r>
    </w:p>
    <w:p>
      <w:pPr>
        <w:pStyle w:val="Heading2"/>
        <w:spacing w:after="100" w:before="220"/>
      </w:pPr>
      <w:r>
        <w:rPr>
          <w:b/>
          <w:bCs/>
          <w:color w:val="5B5240"/>
          <w:sz w:val="24"/>
          <w:szCs w:val="24"/>
        </w:rPr>
        <w:t xml:space="preserve">2.3 Runtime system prompt — follow-up chat</w:t>
      </w:r>
    </w:p>
    <w:p>
      <w:pPr>
        <w:shd w:fill="F3ECD8" w:color="auto" w:val="clear"/>
        <w:spacing w:after="160" w:before="60"/>
      </w:pPr>
      <w:r>
        <w:rPr>
          <w:rFonts w:ascii="Consolas" w:cs="Consolas" w:eastAsia="Consolas" w:hAnsi="Consolas"/>
          <w:color w:val="241C11"/>
          <w:sz w:val="19"/>
          <w:szCs w:val="19"/>
        </w:rPr>
        <w:t xml:space="preserve">You are Chef Nova, a friendly, concise home-cooking assistant inside
PantryChef AI. The user may ask follow-up questions about the recipe you
just generated (substitutions, technique, timing, scaling, leftovers).
Answer directly and practically in a few sentences...</w:t>
      </w:r>
    </w:p>
    <w:p>
      <w:pPr>
        <w:spacing w:after="120"/>
      </w:pPr>
      <w:r>
        <w:rPr>
          <w:sz w:val="22"/>
          <w:szCs w:val="22"/>
        </w:rPr>
        <w:t xml:space="preserve">The chat endpoint injects the current recipe text as a synthetic prior turn before the user's question, giving the model context without requiring a persistent server-side session store.</w:t>
      </w:r>
    </w:p>
    <w:p>
      <w:pPr>
        <w:pStyle w:val="Heading1"/>
        <w:spacing w:after="140" w:before="320"/>
      </w:pPr>
      <w:r>
        <w:rPr>
          <w:b/>
          <w:bCs/>
          <w:color w:val="16261C"/>
        </w:rPr>
        <w:t xml:space="preserve">3. Phase-by-Phase Development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8140"/>
      </w:tblGrid>
      <w:tr>
        <w:tc>
          <w:tcPr>
            <w:tcW w:type="pct" w:w="16%"/>
            <w:shd w:fill="F3ECD8" w:color="auto" w:val="clear"/>
            <w:tcMar>
              <w:top w:type="dxa" w:w="90"/>
              <w:left w:type="dxa" w:w="110"/>
              <w:bottom w:type="dxa" w:w="90"/>
              <w:right w:type="dxa" w:w="110"/>
            </w:tcMar>
          </w:tcPr>
          <w:p>
            <w:r>
              <w:rPr>
                <w:b/>
                <w:bCs/>
                <w:sz w:val="20"/>
                <w:szCs w:val="20"/>
              </w:rPr>
              <w:t xml:space="preserve">Phase</w:t>
            </w:r>
          </w:p>
        </w:tc>
        <w:tc>
          <w:tcPr>
            <w:tcW w:type="pct" w:w="84%"/>
            <w:shd w:fill="F3ECD8" w:color="auto" w:val="clear"/>
            <w:tcMar>
              <w:top w:type="dxa" w:w="90"/>
              <w:left w:type="dxa" w:w="110"/>
              <w:bottom w:type="dxa" w:w="90"/>
              <w:right w:type="dxa" w:w="110"/>
            </w:tcMar>
          </w:tcPr>
          <w:p>
            <w:r>
              <w:rPr>
                <w:b/>
                <w:bCs/>
                <w:sz w:val="20"/>
                <w:szCs w:val="20"/>
              </w:rPr>
              <w:t xml:space="preserve">Work completed</w:t>
            </w:r>
          </w:p>
        </w:tc>
      </w:tr>
      <w:tr>
        <w:tc>
          <w:tcPr>
            <w:tcW w:type="pct" w:w="16%"/>
            <w:tcMar>
              <w:top w:type="dxa" w:w="90"/>
              <w:left w:type="dxa" w:w="110"/>
              <w:bottom w:type="dxa" w:w="90"/>
              <w:right w:type="dxa" w:w="110"/>
            </w:tcMar>
          </w:tcPr>
          <w:p>
            <w:r>
              <w:rPr>
                <w:b w:val="false"/>
                <w:bCs w:val="false"/>
                <w:sz w:val="20"/>
                <w:szCs w:val="20"/>
              </w:rPr>
              <w:t xml:space="preserve">1. Concept</w:t>
            </w:r>
          </w:p>
        </w:tc>
        <w:tc>
          <w:tcPr>
            <w:tcW w:type="pct" w:w="84%"/>
            <w:tcMar>
              <w:top w:type="dxa" w:w="90"/>
              <w:left w:type="dxa" w:w="110"/>
              <w:bottom w:type="dxa" w:w="90"/>
              <w:right w:type="dxa" w:w="110"/>
            </w:tcMar>
          </w:tcPr>
          <w:p>
            <w:r>
              <w:rPr>
                <w:b w:val="false"/>
                <w:bCs w:val="false"/>
                <w:sz w:val="20"/>
                <w:szCs w:val="20"/>
              </w:rPr>
              <w:t xml:space="preserve">Chose an ingredient-first recipe assistant as the application concept; defined target user, required features, and success criteria.</w:t>
            </w:r>
          </w:p>
        </w:tc>
      </w:tr>
      <w:tr>
        <w:tc>
          <w:tcPr>
            <w:tcW w:type="pct" w:w="16%"/>
            <w:tcMar>
              <w:top w:type="dxa" w:w="90"/>
              <w:left w:type="dxa" w:w="110"/>
              <w:bottom w:type="dxa" w:w="90"/>
              <w:right w:type="dxa" w:w="110"/>
            </w:tcMar>
          </w:tcPr>
          <w:p>
            <w:r>
              <w:rPr>
                <w:b w:val="false"/>
                <w:bCs w:val="false"/>
                <w:sz w:val="20"/>
                <w:szCs w:val="20"/>
              </w:rPr>
              <w:t xml:space="preserve">2. Backend</w:t>
            </w:r>
          </w:p>
        </w:tc>
        <w:tc>
          <w:tcPr>
            <w:tcW w:type="pct" w:w="84%"/>
            <w:tcMar>
              <w:top w:type="dxa" w:w="90"/>
              <w:left w:type="dxa" w:w="110"/>
              <w:bottom w:type="dxa" w:w="90"/>
              <w:right w:type="dxa" w:w="110"/>
            </w:tcMar>
          </w:tcPr>
          <w:p>
            <w:r>
              <w:rPr>
                <w:b w:val="false"/>
                <w:bCs w:val="false"/>
                <w:sz w:val="20"/>
                <w:szCs w:val="20"/>
              </w:rPr>
              <w:t xml:space="preserve">Built the FastAPI app: request models with validation, the streaming /api/generate and /api/chat routes, health check, CORS configuration, and environment-based secret handling.</w:t>
            </w:r>
          </w:p>
        </w:tc>
      </w:tr>
      <w:tr>
        <w:tc>
          <w:tcPr>
            <w:tcW w:type="pct" w:w="16%"/>
            <w:tcMar>
              <w:top w:type="dxa" w:w="90"/>
              <w:left w:type="dxa" w:w="110"/>
              <w:bottom w:type="dxa" w:w="90"/>
              <w:right w:type="dxa" w:w="110"/>
            </w:tcMar>
          </w:tcPr>
          <w:p>
            <w:r>
              <w:rPr>
                <w:b w:val="false"/>
                <w:bCs w:val="false"/>
                <w:sz w:val="20"/>
                <w:szCs w:val="20"/>
              </w:rPr>
              <w:t xml:space="preserve">3. Frontend</w:t>
            </w:r>
          </w:p>
        </w:tc>
        <w:tc>
          <w:tcPr>
            <w:tcW w:type="pct" w:w="84%"/>
            <w:tcMar>
              <w:top w:type="dxa" w:w="90"/>
              <w:left w:type="dxa" w:w="110"/>
              <w:bottom w:type="dxa" w:w="90"/>
              <w:right w:type="dxa" w:w="110"/>
            </w:tcMar>
          </w:tcPr>
          <w:p>
            <w:r>
              <w:rPr>
                <w:b w:val="false"/>
                <w:bCs w:val="false"/>
                <w:sz w:val="20"/>
                <w:szCs w:val="20"/>
              </w:rPr>
              <w:t xml:space="preserve">Built the responsive HTML/CSS/JS UI: input form, recipe card, streaming renderer, and follow-up chat panel; verified mobile layout via a stacked single-column breakpoint.</w:t>
            </w:r>
          </w:p>
        </w:tc>
      </w:tr>
      <w:tr>
        <w:tc>
          <w:tcPr>
            <w:tcW w:type="pct" w:w="16%"/>
            <w:tcMar>
              <w:top w:type="dxa" w:w="90"/>
              <w:left w:type="dxa" w:w="110"/>
              <w:bottom w:type="dxa" w:w="90"/>
              <w:right w:type="dxa" w:w="110"/>
            </w:tcMar>
          </w:tcPr>
          <w:p>
            <w:r>
              <w:rPr>
                <w:b w:val="false"/>
                <w:bCs w:val="false"/>
                <w:sz w:val="20"/>
                <w:szCs w:val="20"/>
              </w:rPr>
              <w:t xml:space="preserve">4. Integration</w:t>
            </w:r>
          </w:p>
        </w:tc>
        <w:tc>
          <w:tcPr>
            <w:tcW w:type="pct" w:w="84%"/>
            <w:tcMar>
              <w:top w:type="dxa" w:w="90"/>
              <w:left w:type="dxa" w:w="110"/>
              <w:bottom w:type="dxa" w:w="90"/>
              <w:right w:type="dxa" w:w="110"/>
            </w:tcMar>
          </w:tcPr>
          <w:p>
            <w:r>
              <w:rPr>
                <w:b w:val="false"/>
                <w:bCs w:val="false"/>
                <w:sz w:val="20"/>
                <w:szCs w:val="20"/>
              </w:rPr>
              <w:t xml:space="preserve">Connected frontend fetch() calls to the backend's streamed responses using ReadableStream, rendering progressively rather than waiting for the full response.</w:t>
            </w:r>
          </w:p>
        </w:tc>
      </w:tr>
      <w:tr>
        <w:tc>
          <w:tcPr>
            <w:tcW w:type="pct" w:w="16%"/>
            <w:tcMar>
              <w:top w:type="dxa" w:w="90"/>
              <w:left w:type="dxa" w:w="110"/>
              <w:bottom w:type="dxa" w:w="90"/>
              <w:right w:type="dxa" w:w="110"/>
            </w:tcMar>
          </w:tcPr>
          <w:p>
            <w:r>
              <w:rPr>
                <w:b w:val="false"/>
                <w:bCs w:val="false"/>
                <w:sz w:val="20"/>
                <w:szCs w:val="20"/>
              </w:rPr>
              <w:t xml:space="preserve">5. Containerization</w:t>
            </w:r>
          </w:p>
        </w:tc>
        <w:tc>
          <w:tcPr>
            <w:tcW w:type="pct" w:w="84%"/>
            <w:tcMar>
              <w:top w:type="dxa" w:w="90"/>
              <w:left w:type="dxa" w:w="110"/>
              <w:bottom w:type="dxa" w:w="90"/>
              <w:right w:type="dxa" w:w="110"/>
            </w:tcMar>
          </w:tcPr>
          <w:p>
            <w:r>
              <w:rPr>
                <w:b w:val="false"/>
                <w:bCs w:val="false"/>
                <w:sz w:val="20"/>
                <w:szCs w:val="20"/>
              </w:rPr>
              <w:t xml:space="preserve">Wrote the Dockerfile (non-root user, health check), .dockerignore, and verified the container serves both API and static assets on one port.</w:t>
            </w:r>
          </w:p>
        </w:tc>
      </w:tr>
      <w:tr>
        <w:tc>
          <w:tcPr>
            <w:tcW w:type="pct" w:w="16%"/>
            <w:tcMar>
              <w:top w:type="dxa" w:w="90"/>
              <w:left w:type="dxa" w:w="110"/>
              <w:bottom w:type="dxa" w:w="90"/>
              <w:right w:type="dxa" w:w="110"/>
            </w:tcMar>
          </w:tcPr>
          <w:p>
            <w:r>
              <w:rPr>
                <w:b w:val="false"/>
                <w:bCs w:val="false"/>
                <w:sz w:val="20"/>
                <w:szCs w:val="20"/>
              </w:rPr>
              <w:t xml:space="preserve">6. AWS Deployment</w:t>
            </w:r>
          </w:p>
        </w:tc>
        <w:tc>
          <w:tcPr>
            <w:tcW w:type="pct" w:w="84%"/>
            <w:tcMar>
              <w:top w:type="dxa" w:w="90"/>
              <w:left w:type="dxa" w:w="110"/>
              <w:bottom w:type="dxa" w:w="90"/>
              <w:right w:type="dxa" w:w="110"/>
            </w:tcMar>
          </w:tcPr>
          <w:p>
            <w:r>
              <w:rPr>
                <w:b w:val="false"/>
                <w:bCs w:val="false"/>
                <w:sz w:val="20"/>
                <w:szCs w:val="20"/>
              </w:rPr>
              <w:t xml:space="preserve">Pushed the image to Amazon ECR and deployed via AWS App Runner with environment-variable secrets and a public HTTPS URL; configured an AWS Budget alert.</w:t>
            </w:r>
          </w:p>
        </w:tc>
      </w:tr>
      <w:tr>
        <w:tc>
          <w:tcPr>
            <w:tcW w:type="pct" w:w="16%"/>
            <w:tcMar>
              <w:top w:type="dxa" w:w="90"/>
              <w:left w:type="dxa" w:w="110"/>
              <w:bottom w:type="dxa" w:w="90"/>
              <w:right w:type="dxa" w:w="110"/>
            </w:tcMar>
          </w:tcPr>
          <w:p>
            <w:r>
              <w:rPr>
                <w:b w:val="false"/>
                <w:bCs w:val="false"/>
                <w:sz w:val="20"/>
                <w:szCs w:val="20"/>
              </w:rPr>
              <w:t xml:space="preserve">7. QA &amp; Docs</w:t>
            </w:r>
          </w:p>
        </w:tc>
        <w:tc>
          <w:tcPr>
            <w:tcW w:type="pct" w:w="84%"/>
            <w:tcMar>
              <w:top w:type="dxa" w:w="90"/>
              <w:left w:type="dxa" w:w="110"/>
              <w:bottom w:type="dxa" w:w="90"/>
              <w:right w:type="dxa" w:w="110"/>
            </w:tcMar>
          </w:tcPr>
          <w:p>
            <w:r>
              <w:rPr>
                <w:b w:val="false"/>
                <w:bCs w:val="false"/>
                <w:sz w:val="20"/>
                <w:szCs w:val="20"/>
              </w:rPr>
              <w:t xml:space="preserve">Tested on desktop and mobile browsers, wrote the README, concept note, and this report.</w:t>
            </w:r>
          </w:p>
        </w:tc>
      </w:tr>
    </w:tbl>
    <w:p>
      <w:pPr>
        <w:pStyle w:val="Heading1"/>
        <w:spacing w:after="140" w:before="320"/>
      </w:pPr>
      <w:r>
        <w:rPr>
          <w:b/>
          <w:bCs/>
          <w:color w:val="16261C"/>
        </w:rPr>
        <w:t xml:space="preserve">4. Application Architecture</w:t>
      </w:r>
    </w:p>
    <w:p>
      <w:pPr>
        <w:spacing w:after="120"/>
      </w:pPr>
      <w:r>
        <w:rPr>
          <w:sz w:val="22"/>
          <w:szCs w:val="22"/>
        </w:rPr>
        <w:t>The browser talks only to the FastAPI backend over HTTPS. FastAPI serves the static frontend files and exposes two streaming JSON endpoints (/api/generate, /api/chat) plus a health check (/api/health) used by AWS. The backend is the only component holding the Google API key, read from an environment variable at process start and passed to the google-generativeai SDK client. Each request opens a streaming connection to the Gemini API and forwards text chunks to the browser as they arrive, so the same container serves the UI, the API, and the AI integration.</w:t>
      </w:r>
    </w:p>
    <w:p>
      <w:pPr>
        <w:shd w:fill="F3ECD8" w:color="auto" w:val="clear"/>
        <w:spacing w:after="160" w:before="60"/>
      </w:pPr>
      <w:r>
        <w:rPr>
          <w:rFonts w:ascii="Consolas" w:cs="Consolas" w:eastAsia="Consolas" w:hAnsi="Consolas"/>
          <w:color w:val="241C11"/>
          <w:sz w:val="19"/>
          <w:szCs w:val="19"/>
        </w:rPr>
        <w:t>Browser (fetch + ReadableStream)</w:t>
        <w:br/>
        <w:t xml:space="preserve">   |  HTTPS</w:t>
        <w:br/>
        <w:t xml:space="preserve">   v</w:t>
        <w:br/>
        <w:t>FastAPI app (Docker container on AWS App Runner)</w:t>
        <w:br/>
        <w:t xml:space="preserve">   |-- StaticFiles: index.html / style.css / script.js</w:t>
        <w:br/>
        <w:t xml:space="preserve">   |-- POST /api/generate  --stream--&gt;  Google Gemini API</w:t>
        <w:br/>
        <w:t xml:space="preserve">   |-- POST /api/chat      --stream--&gt;  Google Gemini API</w:t>
        <w:br/>
        <w:t xml:space="preserve">   \-- GET  /api/health</w:t>
      </w:r>
    </w:p>
    <w:p>
      <w:pPr>
        <w:pStyle w:val="Heading1"/>
        <w:spacing w:after="140" w:before="320"/>
      </w:pPr>
      <w:r>
        <w:rPr>
          <w:b/>
          <w:bCs/>
          <w:color w:val="16261C"/>
        </w:rPr>
        <w:t xml:space="preserve">5. Challenges Encountered &amp; Resolutions</w:t>
      </w:r>
    </w:p>
    <w:p>
      <w:pPr>
        <w:pStyle w:val="ListParagraph"/>
        <w:numPr>
          <w:ilvl w:val="0"/>
          <w:numId w:val="1"/>
        </w:numPr>
        <w:spacing w:after="60"/>
      </w:pPr>
      <w:r>
        <w:rPr>
          <w:sz w:val="22"/>
          <w:szCs w:val="22"/>
        </w:rPr>
        <w:t xml:space="preserve">Streaming without a heavy client library: resolved by reading the fetch Response body directly with getReader()/TextDecoder and re-rendering on every chunk, avoiding the need for a full SSE or WebSocket stack for a one-directional text stream.</w:t>
      </w:r>
    </w:p>
    <w:p>
      <w:pPr>
        <w:pStyle w:val="ListParagraph"/>
        <w:numPr>
          <w:ilvl w:val="0"/>
          <w:numId w:val="1"/>
        </w:numPr>
        <w:spacing w:after="60"/>
      </w:pPr>
      <w:r>
        <w:rPr>
          <w:sz w:val="22"/>
          <w:szCs w:val="22"/>
        </w:rPr>
        <w:t xml:space="preserve">Keeping generated recipes visually consistent: resolved by constraining the system prompt to a fixed markdown structure and writing a small, purpose-built renderer instead of a general markdown parser.</w:t>
      </w:r>
    </w:p>
    <w:p>
      <w:pPr>
        <w:pStyle w:val="ListParagraph"/>
        <w:numPr>
          <w:ilvl w:val="0"/>
          <w:numId w:val="1"/>
        </w:numPr>
        <w:spacing w:after="60"/>
      </w:pPr>
      <w:r>
        <w:rPr>
          <w:sz w:val="22"/>
          <w:szCs w:val="22"/>
        </w:rPr>
        <w:t xml:space="preserve">Preventing secret leakage: resolved by never referencing the API key in any frontend file, storing it only as a server-side environment variable, and excluding .env from both git and the Docker build context.</w:t>
      </w:r>
    </w:p>
    <w:p>
      <w:pPr>
        <w:pStyle w:val="ListParagraph"/>
        <w:numPr>
          <w:ilvl w:val="0"/>
          <w:numId w:val="1"/>
        </w:numPr>
        <w:spacing w:after="60"/>
      </w:pPr>
      <w:r>
        <w:rPr>
          <w:sz w:val="22"/>
          <w:szCs w:val="22"/>
        </w:rPr>
        <w:t xml:space="preserve">Follow-up questions losing context: resolved by passing the currently displayed recipe text into /api/chat as an injected prior turn rather than requiring server-side session storage.</w:t>
      </w:r>
    </w:p>
    <w:p>
      <w:pPr>
        <w:pStyle w:val="ListParagraph"/>
        <w:numPr>
          <w:ilvl w:val="0"/>
          <w:numId w:val="1"/>
        </w:numPr>
        <w:spacing w:after="60"/>
      </w:pPr>
      <w:r>
        <w:rPr>
          <w:sz w:val="22"/>
          <w:szCs w:val="22"/>
        </w:rPr>
        <w:t xml:space="preserve">[Add any additional challenges your team hit while building/deploying, and how you solved them.]</w:t>
      </w:r>
    </w:p>
    <w:p>
      <w:pPr>
        <w:pStyle w:val="Heading1"/>
        <w:spacing w:after="140" w:before="320"/>
      </w:pPr>
      <w:r>
        <w:rPr>
          <w:b/>
          <w:bCs/>
          <w:color w:val="16261C"/>
        </w:rPr>
        <w:t xml:space="preserve">6. Key Learnings &amp; Reflection</w:t>
      </w:r>
    </w:p>
    <w:p>
      <w:pPr>
        <w:spacing w:after="120"/>
      </w:pPr>
      <w:r>
        <w:rPr>
          <w:sz w:val="22"/>
          <w:szCs w:val="22"/>
        </w:rPr>
        <w:t xml:space="preserve">[Write your team's reflection here: what Vibe Coding felt like in practice, where AI-assisted generation sped things up vs. where manual review was still essential, what you'd do differently with more time, and what you learned about prompt engineering, streaming architectures, and AWS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2026-07-24T06:09:31.424Z</dcterms:created>
  <dcterms:modified xsi:type="dcterms:W3CDTF">2026-07-24T06:09:31.424Z</dcterms:modified>
</cp:coreProperties>
</file>

<file path=docProps/custom.xml><?xml version="1.0" encoding="utf-8"?>
<Properties xmlns="http://schemas.openxmlformats.org/officeDocument/2006/custom-properties" xmlns:vt="http://schemas.openxmlformats.org/officeDocument/2006/docPropsVTypes"/>
</file>