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eastAsia="Calibri"/>
          <w:b/>
          <w:color w:val="000000"/>
          <w:sz w:val="40"/>
        </w:rPr>
        <w:t>BÁO CÁO PHẦN 4 · HOUGH VÀ HẬU XỬ LÝ ROAD BOUNDARY</w:t>
      </w:r>
    </w:p>
    <w:p>
      <w:pPr>
        <w:spacing w:after="200"/>
        <w:jc w:val="center"/>
      </w:pPr>
      <w:r>
        <w:rPr>
          <w:rFonts w:ascii="Calibri" w:hAnsi="Calibri" w:eastAsia="Calibri"/>
          <w:i/>
          <w:color w:val="595959"/>
          <w:sz w:val="25"/>
        </w:rPr>
        <w:t>Phạm vi phần 4: giữ nguyên ba module trước và dùng đúng ảnh cạnh Canny đã bàn giao</w:t>
      </w:r>
    </w:p>
    <w:p>
      <w:pPr>
        <w:spacing w:after="320"/>
        <w:jc w:val="center"/>
      </w:pPr>
      <w:r>
        <w:rPr>
          <w:rFonts w:ascii="Calibri" w:hAnsi="Calibri" w:eastAsia="Calibri"/>
          <w:b/>
          <w:color w:val="1F4E79"/>
          <w:sz w:val="23"/>
        </w:rPr>
        <w:t>Module Biến đổi Hough</w:t>
      </w:r>
    </w:p>
    <w:p>
      <w:pPr>
        <w:pStyle w:val="Heading1"/>
      </w:pPr>
      <w:r>
        <w:t>1. Mục tiêu và quan hệ với ba phần trước</w:t>
      </w:r>
    </w:p>
    <w:p>
      <w:pPr>
        <w:widowControl/>
        <w:spacing w:after="120" w:line="283" w:lineRule="auto"/>
        <w:jc w:val="both"/>
      </w:pPr>
      <w:r>
        <w:rPr>
          <w:rFonts w:ascii="Calibri" w:hAnsi="Calibri" w:eastAsia="Calibri"/>
          <w:color w:val="000000"/>
          <w:sz w:val="25"/>
        </w:rPr>
        <w:t>Phần 1 định nghĩa road boundary là mép vật lý của toàn bộ lòng đường, không phải vạch chia làn. Ground truth là mask vùng đường 0/255. Các vạch kẻ bên trong không thu hẹp vùng đường. Hough chỉ dùng ảnh cạnh và cấu hình; ground truth không tham gia chọn biên.</w:t>
      </w:r>
    </w:p>
    <w:p>
      <w:pPr>
        <w:widowControl/>
        <w:spacing w:after="120" w:line="283" w:lineRule="auto"/>
        <w:jc w:val="both"/>
      </w:pPr>
      <w:r>
        <w:rPr>
          <w:rFonts w:ascii="Calibri" w:hAnsi="Calibri" w:eastAsia="Calibri"/>
          <w:color w:val="000000"/>
          <w:sz w:val="25"/>
        </w:rPr>
        <w:t>Phần 2 hiện có lọc trắng/vàng trong HSV trước Gaussian và chuyển xám. Phần 3 nhận ảnh đó rồi dùng Canny NumPy với ngưỡng (50,150), σ=1,4, nhân 5×5, L2gradient theo quy ước bàn giao. Bản sửa phần 4 không đổi các module này, không tạo lại ảnh đầu vào và không thay nhánh tiền xử lý.</w:t>
      </w:r>
    </w:p>
    <w:p>
      <w:pPr>
        <w:widowControl/>
        <w:spacing w:after="120" w:line="283" w:lineRule="auto"/>
        <w:jc w:val="both"/>
      </w:pPr>
      <w:r>
        <w:rPr>
          <w:rFonts w:ascii="Calibri" w:hAnsi="Calibri" w:eastAsia="Calibri"/>
          <w:color w:val="000000"/>
          <w:sz w:val="25"/>
        </w:rPr>
        <w:t xml:space="preserve">Đầu vào Hough là </w:t>
      </w:r>
      <w:r>
        <w:rPr>
          <w:rFonts w:ascii="Consolas" w:hAnsi="Consolas" w:eastAsia="Consolas"/>
          <w:color w:val="000000"/>
          <w:sz w:val="23"/>
        </w:rPr>
        <w:t>outputs/canny/edges/{normal,curved,adverse}/*.png</w:t>
      </w:r>
      <w:r>
        <w:rPr>
          <w:rFonts w:ascii="Calibri" w:hAnsi="Calibri" w:eastAsia="Calibri"/>
          <w:color w:val="000000"/>
          <w:sz w:val="25"/>
        </w:rPr>
        <w:t xml:space="preserve">, uint8 một kênh, 0/255. Ảnh RGB để vẽ lấy từ </w:t>
      </w:r>
      <w:r>
        <w:rPr>
          <w:rFonts w:ascii="Consolas" w:hAnsi="Consolas" w:eastAsia="Consolas"/>
          <w:color w:val="000000"/>
          <w:sz w:val="23"/>
        </w:rPr>
        <w:t>outputs/preprocessed_for_canny/resized</w:t>
      </w:r>
      <w:r>
        <w:rPr>
          <w:rFonts w:ascii="Calibri" w:hAnsi="Calibri" w:eastAsia="Calibri"/>
          <w:color w:val="000000"/>
          <w:sz w:val="25"/>
        </w:rPr>
        <w:t xml:space="preserve">; ground truth lấy từ </w:t>
      </w:r>
      <w:r>
        <w:rPr>
          <w:rFonts w:ascii="Consolas" w:hAnsi="Consolas" w:eastAsia="Consolas"/>
          <w:color w:val="000000"/>
          <w:sz w:val="23"/>
        </w:rPr>
        <w:t>dataset/ground_truth</w:t>
      </w:r>
      <w:r>
        <w:rPr>
          <w:rFonts w:ascii="Calibri" w:hAnsi="Calibri" w:eastAsia="Calibri"/>
          <w:color w:val="000000"/>
          <w:sz w:val="25"/>
        </w:rPr>
        <w:t>, chỉ dùng đánh giá. Batch và notebook Hough chỉ đọc các thư mục này, chỉ ghi kết quả phần 4.</w:t>
      </w:r>
    </w:p>
    <w:p>
      <w:pPr>
        <w:widowControl/>
        <w:spacing w:after="120" w:line="283" w:lineRule="auto"/>
        <w:jc w:val="both"/>
      </w:pPr>
      <w:r>
        <w:rPr>
          <w:rFonts w:ascii="Calibri" w:hAnsi="Calibri" w:eastAsia="Calibri"/>
          <w:color w:val="000000"/>
          <w:sz w:val="25"/>
        </w:rPr>
        <w:t>Lọc trắng/vàng có thể xóa mép nhựa đường, lề đất hoặc cỏ không thuộc nhóm màu đó. Đây là giới hạn đầu vào phải ghi nhận: Hough không thể khôi phục cạnh đã mất. Không tự thay pipeline của module trước để che giới hạn này.</w:t>
      </w:r>
    </w:p>
    <w:p>
      <w:pPr>
        <w:pStyle w:val="Heading1"/>
      </w:pPr>
      <w:r>
        <w:t>2. ROI và biến đổi Hough</w:t>
      </w:r>
    </w:p>
    <w:p>
      <w:pPr>
        <w:widowControl/>
        <w:spacing w:after="120" w:line="283" w:lineRule="auto"/>
        <w:jc w:val="both"/>
      </w:pPr>
      <w:r>
        <w:rPr>
          <w:rFonts w:ascii="Calibri" w:hAnsi="Calibri" w:eastAsia="Calibri"/>
          <w:color w:val="000000"/>
          <w:sz w:val="25"/>
        </w:rPr>
        <w:t>ROI hình thang cố định theo tỷ lệ, không phải ROI thích ứng hay bộ ước lượng chân trời. Mép trên 0,48H và đáy 0,98H là giả định thực nghiệm của dự án. Chỉ số pixel được chặn trong [0,H−1] và [0,W−1]. Mask áp dụng sau Canny nên phép AND không tự sinh cạnh mới ở đường bao mask; nó chỉ giữ/xóa pixel cạnh đã có.</w:t>
      </w:r>
    </w:p>
    <w:p>
      <w:pPr>
        <w:widowControl/>
        <w:spacing w:after="120" w:line="283" w:lineRule="auto"/>
        <w:jc w:val="both"/>
      </w:pPr>
      <w:r>
        <w:rPr>
          <w:rFonts w:ascii="Calibri" w:hAnsi="Calibri" w:eastAsia="Calibri"/>
          <w:color w:val="000000"/>
          <w:sz w:val="25"/>
        </w:rPr>
        <w:t>P-Hough trả đoạn hữu hạn [x1,y1,x2,y2]; Standard Hough trả (rho,theta) của đường vô hạn. P-Hough được dùng vì giao diện đoạn thẳng phù hợp lọc và chọn cụm, không phải vì có bảo đảm luôn nhanh hơn Standard Hough.</w:t>
      </w:r>
    </w:p>
    <w:tbl>
      <w:tblPr>
        <w:tblStyle w:val="TableGrid"/>
        <w:tblW w:type="auto" w:w="0"/>
        <w:jc w:val="center"/>
        <w:tblLayout w:type="autofit"/>
        <w:tblLook w:firstColumn="1" w:firstRow="1" w:lastColumn="0" w:lastRow="0" w:noHBand="0" w:noVBand="1" w:val="04A0"/>
      </w:tblPr>
      <w:tblGrid>
        <w:gridCol w:w="4536"/>
        <w:gridCol w:w="4536"/>
      </w:tblGrid>
      <w:tr>
        <w:trPr>
          <w:cantSplit/>
          <w:tblHeader w:val="true"/>
        </w:trPr>
        <w:tc>
          <w:tcPr>
            <w:tcW w:type="dxa" w:w="4536"/>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Tham số</w:t>
            </w:r>
          </w:p>
        </w:tc>
        <w:tc>
          <w:tcPr>
            <w:tcW w:type="dxa" w:w="4536"/>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Giá trị</w:t>
            </w:r>
          </w:p>
        </w:tc>
      </w:tr>
      <w:tr>
        <w:trPr>
          <w:cantSplit/>
        </w:trPr>
        <w:tc>
          <w:tcPr>
            <w:tcW w:type="dxa" w:w="4536"/>
            <w:vAlign w:val="center"/>
            <w:tcMar>
              <w:top w:w="90" w:type="dxa"/>
              <w:start w:w="110" w:type="dxa"/>
              <w:bottom w:w="90" w:type="dxa"/>
              <w:end w:w="110" w:type="dxa"/>
            </w:tcMar>
          </w:tcPr>
          <w:p>
            <w:pPr>
              <w:spacing w:after="0"/>
              <w:jc w:val="left"/>
            </w:pPr>
            <w:r>
              <w:rPr>
                <w:rFonts w:ascii="Calibri" w:hAnsi="Calibri" w:eastAsia="Calibri"/>
                <w:color w:val="000000"/>
                <w:sz w:val="21"/>
              </w:rPr>
              <w:t>roi_top_width_ratio</w:t>
            </w:r>
          </w:p>
        </w:tc>
        <w:tc>
          <w:tcPr>
            <w:tcW w:type="dxa" w:w="4536"/>
            <w:vAlign w:val="center"/>
            <w:tcMar>
              <w:top w:w="90" w:type="dxa"/>
              <w:start w:w="110" w:type="dxa"/>
              <w:bottom w:w="90" w:type="dxa"/>
              <w:end w:w="110" w:type="dxa"/>
            </w:tcMar>
          </w:tcPr>
          <w:p>
            <w:pPr>
              <w:spacing w:after="0"/>
              <w:jc w:val="left"/>
            </w:pPr>
            <w:r>
              <w:rPr>
                <w:rFonts w:ascii="Calibri" w:hAnsi="Calibri" w:eastAsia="Calibri"/>
                <w:color w:val="000000"/>
                <w:sz w:val="21"/>
              </w:rPr>
              <w:t>0.35</w:t>
            </w:r>
          </w:p>
        </w:tc>
      </w:tr>
      <w:tr>
        <w:trPr>
          <w:cantSplit/>
        </w:trPr>
        <w:tc>
          <w:tcPr>
            <w:tcW w:type="dxa" w:w="4536"/>
            <w:vAlign w:val="center"/>
            <w:tcMar>
              <w:top w:w="90" w:type="dxa"/>
              <w:start w:w="110" w:type="dxa"/>
              <w:bottom w:w="90" w:type="dxa"/>
              <w:end w:w="110" w:type="dxa"/>
            </w:tcMar>
          </w:tcPr>
          <w:p>
            <w:pPr>
              <w:spacing w:after="0"/>
              <w:jc w:val="left"/>
            </w:pPr>
            <w:r>
              <w:rPr>
                <w:rFonts w:ascii="Calibri" w:hAnsi="Calibri" w:eastAsia="Calibri"/>
                <w:color w:val="000000"/>
                <w:sz w:val="21"/>
              </w:rPr>
              <w:t>roi_bottom_width_ratio</w:t>
            </w:r>
          </w:p>
        </w:tc>
        <w:tc>
          <w:tcPr>
            <w:tcW w:type="dxa" w:w="4536"/>
            <w:vAlign w:val="center"/>
            <w:tcMar>
              <w:top w:w="90" w:type="dxa"/>
              <w:start w:w="110" w:type="dxa"/>
              <w:bottom w:w="90" w:type="dxa"/>
              <w:end w:w="110" w:type="dxa"/>
            </w:tcMar>
          </w:tcPr>
          <w:p>
            <w:pPr>
              <w:spacing w:after="0"/>
              <w:jc w:val="left"/>
            </w:pPr>
            <w:r>
              <w:rPr>
                <w:rFonts w:ascii="Calibri" w:hAnsi="Calibri" w:eastAsia="Calibri"/>
                <w:color w:val="000000"/>
                <w:sz w:val="21"/>
              </w:rPr>
              <w:t>0.98</w:t>
            </w:r>
          </w:p>
        </w:tc>
      </w:tr>
      <w:tr>
        <w:trPr>
          <w:cantSplit/>
        </w:trPr>
        <w:tc>
          <w:tcPr>
            <w:tcW w:type="dxa" w:w="4536"/>
            <w:vAlign w:val="center"/>
            <w:tcMar>
              <w:top w:w="90" w:type="dxa"/>
              <w:start w:w="110" w:type="dxa"/>
              <w:bottom w:w="90" w:type="dxa"/>
              <w:end w:w="110" w:type="dxa"/>
            </w:tcMar>
          </w:tcPr>
          <w:p>
            <w:pPr>
              <w:spacing w:after="0"/>
              <w:jc w:val="left"/>
            </w:pPr>
            <w:r>
              <w:rPr>
                <w:rFonts w:ascii="Calibri" w:hAnsi="Calibri" w:eastAsia="Calibri"/>
                <w:color w:val="000000"/>
                <w:sz w:val="21"/>
              </w:rPr>
              <w:t>roi_top_y_ratio</w:t>
            </w:r>
          </w:p>
        </w:tc>
        <w:tc>
          <w:tcPr>
            <w:tcW w:type="dxa" w:w="4536"/>
            <w:vAlign w:val="center"/>
            <w:tcMar>
              <w:top w:w="90" w:type="dxa"/>
              <w:start w:w="110" w:type="dxa"/>
              <w:bottom w:w="90" w:type="dxa"/>
              <w:end w:w="110" w:type="dxa"/>
            </w:tcMar>
          </w:tcPr>
          <w:p>
            <w:pPr>
              <w:spacing w:after="0"/>
              <w:jc w:val="left"/>
            </w:pPr>
            <w:r>
              <w:rPr>
                <w:rFonts w:ascii="Calibri" w:hAnsi="Calibri" w:eastAsia="Calibri"/>
                <w:color w:val="000000"/>
                <w:sz w:val="21"/>
              </w:rPr>
              <w:t>0.48</w:t>
            </w:r>
          </w:p>
        </w:tc>
      </w:tr>
      <w:tr>
        <w:trPr>
          <w:cantSplit/>
        </w:trPr>
        <w:tc>
          <w:tcPr>
            <w:tcW w:type="dxa" w:w="4536"/>
            <w:vAlign w:val="center"/>
            <w:tcMar>
              <w:top w:w="90" w:type="dxa"/>
              <w:start w:w="110" w:type="dxa"/>
              <w:bottom w:w="90" w:type="dxa"/>
              <w:end w:w="110" w:type="dxa"/>
            </w:tcMar>
          </w:tcPr>
          <w:p>
            <w:pPr>
              <w:spacing w:after="0"/>
              <w:jc w:val="left"/>
            </w:pPr>
            <w:r>
              <w:rPr>
                <w:rFonts w:ascii="Calibri" w:hAnsi="Calibri" w:eastAsia="Calibri"/>
                <w:color w:val="000000"/>
                <w:sz w:val="21"/>
              </w:rPr>
              <w:t>roi_bottom_y_ratio</w:t>
            </w:r>
          </w:p>
        </w:tc>
        <w:tc>
          <w:tcPr>
            <w:tcW w:type="dxa" w:w="4536"/>
            <w:vAlign w:val="center"/>
            <w:tcMar>
              <w:top w:w="90" w:type="dxa"/>
              <w:start w:w="110" w:type="dxa"/>
              <w:bottom w:w="90" w:type="dxa"/>
              <w:end w:w="110" w:type="dxa"/>
            </w:tcMar>
          </w:tcPr>
          <w:p>
            <w:pPr>
              <w:spacing w:after="0"/>
              <w:jc w:val="left"/>
            </w:pPr>
            <w:r>
              <w:rPr>
                <w:rFonts w:ascii="Calibri" w:hAnsi="Calibri" w:eastAsia="Calibri"/>
                <w:color w:val="000000"/>
                <w:sz w:val="21"/>
              </w:rPr>
              <w:t>0.98</w:t>
            </w:r>
          </w:p>
        </w:tc>
      </w:tr>
      <w:tr>
        <w:trPr>
          <w:cantSplit/>
        </w:trPr>
        <w:tc>
          <w:tcPr>
            <w:tcW w:type="dxa" w:w="4536"/>
            <w:vAlign w:val="center"/>
            <w:tcMar>
              <w:top w:w="90" w:type="dxa"/>
              <w:start w:w="110" w:type="dxa"/>
              <w:bottom w:w="90" w:type="dxa"/>
              <w:end w:w="110" w:type="dxa"/>
            </w:tcMar>
          </w:tcPr>
          <w:p>
            <w:pPr>
              <w:spacing w:after="0"/>
              <w:jc w:val="left"/>
            </w:pPr>
            <w:r>
              <w:rPr>
                <w:rFonts w:ascii="Calibri" w:hAnsi="Calibri" w:eastAsia="Calibri"/>
                <w:color w:val="000000"/>
                <w:sz w:val="21"/>
              </w:rPr>
              <w:t>rho</w:t>
            </w:r>
          </w:p>
        </w:tc>
        <w:tc>
          <w:tcPr>
            <w:tcW w:type="dxa" w:w="4536"/>
            <w:vAlign w:val="center"/>
            <w:tcMar>
              <w:top w:w="90" w:type="dxa"/>
              <w:start w:w="110" w:type="dxa"/>
              <w:bottom w:w="90" w:type="dxa"/>
              <w:end w:w="110" w:type="dxa"/>
            </w:tcMar>
          </w:tcPr>
          <w:p>
            <w:pPr>
              <w:spacing w:after="0"/>
              <w:jc w:val="left"/>
            </w:pPr>
            <w:r>
              <w:rPr>
                <w:rFonts w:ascii="Calibri" w:hAnsi="Calibri" w:eastAsia="Calibri"/>
                <w:color w:val="000000"/>
                <w:sz w:val="21"/>
              </w:rPr>
              <w:t>1.0</w:t>
            </w:r>
          </w:p>
        </w:tc>
      </w:tr>
      <w:tr>
        <w:trPr>
          <w:cantSplit/>
        </w:trPr>
        <w:tc>
          <w:tcPr>
            <w:tcW w:type="dxa" w:w="4536"/>
            <w:vAlign w:val="center"/>
            <w:tcMar>
              <w:top w:w="90" w:type="dxa"/>
              <w:start w:w="110" w:type="dxa"/>
              <w:bottom w:w="90" w:type="dxa"/>
              <w:end w:w="110" w:type="dxa"/>
            </w:tcMar>
          </w:tcPr>
          <w:p>
            <w:pPr>
              <w:spacing w:after="0"/>
              <w:jc w:val="left"/>
            </w:pPr>
            <w:r>
              <w:rPr>
                <w:rFonts w:ascii="Calibri" w:hAnsi="Calibri" w:eastAsia="Calibri"/>
                <w:color w:val="000000"/>
                <w:sz w:val="21"/>
              </w:rPr>
              <w:t>theta</w:t>
            </w:r>
          </w:p>
        </w:tc>
        <w:tc>
          <w:tcPr>
            <w:tcW w:type="dxa" w:w="4536"/>
            <w:vAlign w:val="center"/>
            <w:tcMar>
              <w:top w:w="90" w:type="dxa"/>
              <w:start w:w="110" w:type="dxa"/>
              <w:bottom w:w="90" w:type="dxa"/>
              <w:end w:w="110" w:type="dxa"/>
            </w:tcMar>
          </w:tcPr>
          <w:p>
            <w:pPr>
              <w:spacing w:after="0"/>
              <w:jc w:val="left"/>
            </w:pPr>
            <w:r>
              <w:rPr>
                <w:rFonts w:ascii="Calibri" w:hAnsi="Calibri" w:eastAsia="Calibri"/>
                <w:color w:val="000000"/>
                <w:sz w:val="21"/>
              </w:rPr>
              <w:t>0.017453292519943295</w:t>
            </w:r>
          </w:p>
        </w:tc>
      </w:tr>
      <w:tr>
        <w:trPr>
          <w:cantSplit/>
        </w:trPr>
        <w:tc>
          <w:tcPr>
            <w:tcW w:type="dxa" w:w="4536"/>
            <w:vAlign w:val="center"/>
            <w:tcMar>
              <w:top w:w="90" w:type="dxa"/>
              <w:start w:w="110" w:type="dxa"/>
              <w:bottom w:w="90" w:type="dxa"/>
              <w:end w:w="110" w:type="dxa"/>
            </w:tcMar>
          </w:tcPr>
          <w:p>
            <w:pPr>
              <w:spacing w:after="0"/>
              <w:jc w:val="left"/>
            </w:pPr>
            <w:r>
              <w:rPr>
                <w:rFonts w:ascii="Calibri" w:hAnsi="Calibri" w:eastAsia="Calibri"/>
                <w:color w:val="000000"/>
                <w:sz w:val="21"/>
              </w:rPr>
              <w:t>threshold</w:t>
            </w:r>
          </w:p>
        </w:tc>
        <w:tc>
          <w:tcPr>
            <w:tcW w:type="dxa" w:w="4536"/>
            <w:vAlign w:val="center"/>
            <w:tcMar>
              <w:top w:w="90" w:type="dxa"/>
              <w:start w:w="110" w:type="dxa"/>
              <w:bottom w:w="90" w:type="dxa"/>
              <w:end w:w="110" w:type="dxa"/>
            </w:tcMar>
          </w:tcPr>
          <w:p>
            <w:pPr>
              <w:spacing w:after="0"/>
              <w:jc w:val="left"/>
            </w:pPr>
            <w:r>
              <w:rPr>
                <w:rFonts w:ascii="Calibri" w:hAnsi="Calibri" w:eastAsia="Calibri"/>
                <w:color w:val="000000"/>
                <w:sz w:val="21"/>
              </w:rPr>
              <w:t>25</w:t>
            </w:r>
          </w:p>
        </w:tc>
      </w:tr>
      <w:tr>
        <w:trPr>
          <w:cantSplit/>
        </w:trPr>
        <w:tc>
          <w:tcPr>
            <w:tcW w:type="dxa" w:w="4536"/>
            <w:vAlign w:val="center"/>
            <w:tcMar>
              <w:top w:w="90" w:type="dxa"/>
              <w:start w:w="110" w:type="dxa"/>
              <w:bottom w:w="90" w:type="dxa"/>
              <w:end w:w="110" w:type="dxa"/>
            </w:tcMar>
          </w:tcPr>
          <w:p>
            <w:pPr>
              <w:spacing w:after="0"/>
              <w:jc w:val="left"/>
            </w:pPr>
            <w:r>
              <w:rPr>
                <w:rFonts w:ascii="Calibri" w:hAnsi="Calibri" w:eastAsia="Calibri"/>
                <w:color w:val="000000"/>
                <w:sz w:val="21"/>
              </w:rPr>
              <w:t>min_line_length</w:t>
            </w:r>
          </w:p>
        </w:tc>
        <w:tc>
          <w:tcPr>
            <w:tcW w:type="dxa" w:w="4536"/>
            <w:vAlign w:val="center"/>
            <w:tcMar>
              <w:top w:w="90" w:type="dxa"/>
              <w:start w:w="110" w:type="dxa"/>
              <w:bottom w:w="90" w:type="dxa"/>
              <w:end w:w="110" w:type="dxa"/>
            </w:tcMar>
          </w:tcPr>
          <w:p>
            <w:pPr>
              <w:spacing w:after="0"/>
              <w:jc w:val="left"/>
            </w:pPr>
            <w:r>
              <w:rPr>
                <w:rFonts w:ascii="Calibri" w:hAnsi="Calibri" w:eastAsia="Calibri"/>
                <w:color w:val="000000"/>
                <w:sz w:val="21"/>
              </w:rPr>
              <w:t>25.0</w:t>
            </w:r>
          </w:p>
        </w:tc>
      </w:tr>
      <w:tr>
        <w:trPr>
          <w:cantSplit/>
        </w:trPr>
        <w:tc>
          <w:tcPr>
            <w:tcW w:type="dxa" w:w="4536"/>
            <w:vAlign w:val="center"/>
            <w:tcMar>
              <w:top w:w="90" w:type="dxa"/>
              <w:start w:w="110" w:type="dxa"/>
              <w:bottom w:w="90" w:type="dxa"/>
              <w:end w:w="110" w:type="dxa"/>
            </w:tcMar>
          </w:tcPr>
          <w:p>
            <w:pPr>
              <w:spacing w:after="0"/>
              <w:jc w:val="left"/>
            </w:pPr>
            <w:r>
              <w:rPr>
                <w:rFonts w:ascii="Calibri" w:hAnsi="Calibri" w:eastAsia="Calibri"/>
                <w:color w:val="000000"/>
                <w:sz w:val="21"/>
              </w:rPr>
              <w:t>max_line_gap</w:t>
            </w:r>
          </w:p>
        </w:tc>
        <w:tc>
          <w:tcPr>
            <w:tcW w:type="dxa" w:w="4536"/>
            <w:vAlign w:val="center"/>
            <w:tcMar>
              <w:top w:w="90" w:type="dxa"/>
              <w:start w:w="110" w:type="dxa"/>
              <w:bottom w:w="90" w:type="dxa"/>
              <w:end w:w="110" w:type="dxa"/>
            </w:tcMar>
          </w:tcPr>
          <w:p>
            <w:pPr>
              <w:spacing w:after="0"/>
              <w:jc w:val="left"/>
            </w:pPr>
            <w:r>
              <w:rPr>
                <w:rFonts w:ascii="Calibri" w:hAnsi="Calibri" w:eastAsia="Calibri"/>
                <w:color w:val="000000"/>
                <w:sz w:val="21"/>
              </w:rPr>
              <w:t>25.0</w:t>
            </w:r>
          </w:p>
        </w:tc>
      </w:tr>
      <w:tr>
        <w:trPr>
          <w:cantSplit/>
        </w:trPr>
        <w:tc>
          <w:tcPr>
            <w:tcW w:type="dxa" w:w="4536"/>
            <w:vAlign w:val="center"/>
            <w:tcMar>
              <w:top w:w="90" w:type="dxa"/>
              <w:start w:w="110" w:type="dxa"/>
              <w:bottom w:w="90" w:type="dxa"/>
              <w:end w:w="110" w:type="dxa"/>
            </w:tcMar>
          </w:tcPr>
          <w:p>
            <w:pPr>
              <w:spacing w:after="0"/>
              <w:jc w:val="left"/>
            </w:pPr>
            <w:r>
              <w:rPr>
                <w:rFonts w:ascii="Calibri" w:hAnsi="Calibri" w:eastAsia="Calibri"/>
                <w:color w:val="000000"/>
                <w:sz w:val="21"/>
              </w:rPr>
              <w:t>min_abs_slope</w:t>
            </w:r>
          </w:p>
        </w:tc>
        <w:tc>
          <w:tcPr>
            <w:tcW w:type="dxa" w:w="4536"/>
            <w:vAlign w:val="center"/>
            <w:tcMar>
              <w:top w:w="90" w:type="dxa"/>
              <w:start w:w="110" w:type="dxa"/>
              <w:bottom w:w="90" w:type="dxa"/>
              <w:end w:w="110" w:type="dxa"/>
            </w:tcMar>
          </w:tcPr>
          <w:p>
            <w:pPr>
              <w:spacing w:after="0"/>
              <w:jc w:val="left"/>
            </w:pPr>
            <w:r>
              <w:rPr>
                <w:rFonts w:ascii="Calibri" w:hAnsi="Calibri" w:eastAsia="Calibri"/>
                <w:color w:val="000000"/>
                <w:sz w:val="21"/>
              </w:rPr>
              <w:t>0.3</w:t>
            </w:r>
          </w:p>
        </w:tc>
      </w:tr>
      <w:tr>
        <w:trPr>
          <w:cantSplit/>
        </w:trPr>
        <w:tc>
          <w:tcPr>
            <w:tcW w:type="dxa" w:w="4536"/>
            <w:vAlign w:val="center"/>
            <w:tcMar>
              <w:top w:w="90" w:type="dxa"/>
              <w:start w:w="110" w:type="dxa"/>
              <w:bottom w:w="90" w:type="dxa"/>
              <w:end w:w="110" w:type="dxa"/>
            </w:tcMar>
          </w:tcPr>
          <w:p>
            <w:pPr>
              <w:spacing w:after="0"/>
              <w:jc w:val="left"/>
            </w:pPr>
            <w:r>
              <w:rPr>
                <w:rFonts w:ascii="Calibri" w:hAnsi="Calibri" w:eastAsia="Calibri"/>
                <w:color w:val="000000"/>
                <w:sz w:val="21"/>
              </w:rPr>
              <w:t>max_abs_slope</w:t>
            </w:r>
          </w:p>
        </w:tc>
        <w:tc>
          <w:tcPr>
            <w:tcW w:type="dxa" w:w="4536"/>
            <w:vAlign w:val="center"/>
            <w:tcMar>
              <w:top w:w="90" w:type="dxa"/>
              <w:start w:w="110" w:type="dxa"/>
              <w:bottom w:w="90" w:type="dxa"/>
              <w:end w:w="110" w:type="dxa"/>
            </w:tcMar>
          </w:tcPr>
          <w:p>
            <w:pPr>
              <w:spacing w:after="0"/>
              <w:jc w:val="left"/>
            </w:pPr>
            <w:r>
              <w:rPr>
                <w:rFonts w:ascii="Calibri" w:hAnsi="Calibri" w:eastAsia="Calibri"/>
                <w:color w:val="000000"/>
                <w:sz w:val="21"/>
              </w:rPr>
              <w:t>4.0</w:t>
            </w:r>
          </w:p>
        </w:tc>
      </w:tr>
      <w:tr>
        <w:trPr>
          <w:cantSplit/>
        </w:trPr>
        <w:tc>
          <w:tcPr>
            <w:tcW w:type="dxa" w:w="4536"/>
            <w:vAlign w:val="center"/>
            <w:tcMar>
              <w:top w:w="90" w:type="dxa"/>
              <w:start w:w="110" w:type="dxa"/>
              <w:bottom w:w="90" w:type="dxa"/>
              <w:end w:w="110" w:type="dxa"/>
            </w:tcMar>
          </w:tcPr>
          <w:p>
            <w:pPr>
              <w:spacing w:after="0"/>
              <w:jc w:val="left"/>
            </w:pPr>
            <w:r>
              <w:rPr>
                <w:rFonts w:ascii="Calibri" w:hAnsi="Calibri" w:eastAsia="Calibri"/>
                <w:color w:val="000000"/>
                <w:sz w:val="21"/>
              </w:rPr>
              <w:t>fit_distance_ratio</w:t>
            </w:r>
          </w:p>
        </w:tc>
        <w:tc>
          <w:tcPr>
            <w:tcW w:type="dxa" w:w="4536"/>
            <w:vAlign w:val="center"/>
            <w:tcMar>
              <w:top w:w="90" w:type="dxa"/>
              <w:start w:w="110" w:type="dxa"/>
              <w:bottom w:w="90" w:type="dxa"/>
              <w:end w:w="110" w:type="dxa"/>
            </w:tcMar>
          </w:tcPr>
          <w:p>
            <w:pPr>
              <w:spacing w:after="0"/>
              <w:jc w:val="left"/>
            </w:pPr>
            <w:r>
              <w:rPr>
                <w:rFonts w:ascii="Calibri" w:hAnsi="Calibri" w:eastAsia="Calibri"/>
                <w:color w:val="000000"/>
                <w:sz w:val="21"/>
              </w:rPr>
              <w:t>0.02</w:t>
            </w:r>
          </w:p>
        </w:tc>
      </w:tr>
    </w:tbl>
    <w:p>
      <w:pPr>
        <w:spacing w:after="0"/>
      </w:pPr>
    </w:p>
    <w:p>
      <w:pPr>
        <w:widowControl/>
        <w:spacing w:after="120" w:line="283" w:lineRule="auto"/>
        <w:jc w:val="both"/>
      </w:pPr>
      <w:r>
        <w:rPr>
          <w:rFonts w:ascii="Calibri" w:hAnsi="Calibri" w:eastAsia="Calibri"/>
          <w:color w:val="000000"/>
          <w:sz w:val="25"/>
        </w:rPr>
        <w:t>Các giá trị này là cấu hình khởi điểm của nhóm, không được ba bài báo công bố như một bộ tham số dành cho tập dữ liệu hiện tại.</w:t>
      </w:r>
    </w:p>
    <w:p>
      <w:pPr>
        <w:keepLines/>
        <w:spacing w:before="80" w:after="60"/>
        <w:jc w:val="center"/>
      </w:pPr>
      <w:r>
        <w:drawing>
          <wp:inline xmlns:a="http://schemas.openxmlformats.org/drawingml/2006/main" xmlns:pic="http://schemas.openxmlformats.org/drawingml/2006/picture">
            <wp:extent cx="5112000" cy="1704000"/>
            <wp:docPr id="1" name="Picture 1"/>
            <wp:cNvGraphicFramePr>
              <a:graphicFrameLocks noChangeAspect="1"/>
            </wp:cNvGraphicFramePr>
            <a:graphic>
              <a:graphicData uri="http://schemas.openxmlformats.org/drawingml/2006/picture">
                <pic:pic>
                  <pic:nvPicPr>
                    <pic:cNvPr id="0" name="figure_2_standard_vs_probabilistic.png"/>
                    <pic:cNvPicPr/>
                  </pic:nvPicPr>
                  <pic:blipFill>
                    <a:blip r:embed="rId11"/>
                    <a:stretch>
                      <a:fillRect/>
                    </a:stretch>
                  </pic:blipFill>
                  <pic:spPr>
                    <a:xfrm>
                      <a:off x="0" y="0"/>
                      <a:ext cx="5112000" cy="1704000"/>
                    </a:xfrm>
                    <a:prstGeom prst="rect"/>
                  </pic:spPr>
                </pic:pic>
              </a:graphicData>
            </a:graphic>
          </wp:inline>
        </w:drawing>
      </w:r>
    </w:p>
    <w:p>
      <w:pPr>
        <w:keepLines/>
        <w:spacing w:after="160"/>
        <w:jc w:val="center"/>
      </w:pPr>
      <w:r>
        <w:rPr>
          <w:rFonts w:ascii="Calibri" w:hAnsi="Calibri" w:eastAsia="Calibri"/>
          <w:i/>
          <w:color w:val="000000"/>
          <w:sz w:val="21"/>
        </w:rPr>
        <w:t>Hình 4.1. Đường vô hạn của Standard Hough và đoạn hữu hạn của P-Hough trên cùng ROI.</w:t>
      </w:r>
    </w:p>
    <w:p>
      <w:pPr>
        <w:pStyle w:val="Heading1"/>
      </w:pPr>
      <w:r>
        <w:t>3. Lọc ứng viên và chọn cụm đồng thuận</w:t>
      </w:r>
    </w:p>
    <w:p>
      <w:pPr>
        <w:widowControl/>
        <w:spacing w:after="120" w:line="283" w:lineRule="auto"/>
        <w:jc w:val="both"/>
      </w:pPr>
      <w:r>
        <w:rPr>
          <w:rFonts w:ascii="Calibri" w:hAnsi="Calibri" w:eastAsia="Calibri"/>
          <w:color w:val="000000"/>
          <w:sz w:val="25"/>
        </w:rPr>
        <w:t>Trong tọa độ ảnh y hướng xuống, baseline giả định biên trái có slope âm và biên phải có slope dương. Loại đoạn ngang, quá đứng và sai vị trí: trái có x_mid &lt; 0,65W, phải có x_mid &gt; 0,35W. Đây là giả định cho cảnh đường gần thẳng, không phải quy luật cho mọi khúc cua.</w:t>
      </w:r>
    </w:p>
    <w:p>
      <w:pPr>
        <w:widowControl/>
        <w:spacing w:after="120" w:line="283" w:lineRule="auto"/>
        <w:jc w:val="both"/>
      </w:pPr>
      <w:r>
        <w:rPr>
          <w:rFonts w:ascii="Calibri" w:hAnsi="Calibri" w:eastAsia="Calibri"/>
          <w:color w:val="000000"/>
          <w:sz w:val="25"/>
        </w:rPr>
        <w:t>Không gộp mọi đoạn cùng dấu vào một hồi quy. Mỗi đoạn đề xuất mô hình x=k·y+b; một đoạn khác chỉ là inlier nếu cả hai đầu mút cách mô hình không quá 0,02W pixel theo phương vuông góc. Chọn mô hình có tổng chiều dài inlier lớn nhất; hòa thì chọn sai số nhỏ nhất, với thứ tự đoạn chuẩn hóa để kết quả có tính xác định.</w:t>
      </w:r>
    </w:p>
    <w:p>
      <w:pPr>
        <w:widowControl/>
        <w:spacing w:after="120" w:line="283" w:lineRule="auto"/>
        <w:jc w:val="both"/>
      </w:pPr>
      <w:r>
        <w:rPr>
          <w:rFonts w:ascii="Calibri" w:hAnsi="Calibri" w:eastAsia="Calibri"/>
          <w:color w:val="000000"/>
          <w:sz w:val="25"/>
        </w:rPr>
        <w:t>Chọn cụm đồng thuận xử lý việc trộn các cấu trúc khác vị trí. Nó chưa phân biệt ngữ nghĩa mép đường với vạch làn, thân xe hoặc bóng: một cụm nhiễu nhất quán vẫn có thể được chọn.</w:t>
      </w:r>
    </w:p>
    <w:p>
      <w:pPr>
        <w:pStyle w:val="Heading1"/>
      </w:pPr>
      <w:r>
        <w:t>4. WLS và hình học đầu ra</w:t>
      </w:r>
    </w:p>
    <w:p>
      <w:pPr>
        <w:widowControl/>
        <w:spacing w:after="120" w:line="283" w:lineRule="auto"/>
        <w:jc w:val="both"/>
      </w:pPr>
      <w:r>
        <w:rPr>
          <w:rFonts w:ascii="Calibri" w:hAnsi="Calibri" w:eastAsia="Calibri"/>
          <w:color w:val="000000"/>
          <w:sz w:val="25"/>
        </w:rPr>
        <w:t>Chỉ fit đầu mút của các inlier bằng WLS x=k·y+b. Mỗi đầu mút nhận trọng số bằng chiều dài đoạn chứa nó:</w:t>
      </w:r>
    </w:p>
    <w:p>
      <w:pPr>
        <w:spacing w:before="80" w:after="120"/>
        <w:jc w:val="center"/>
      </w:pPr>
      <m:oMathPara>
        <m:oMath>
          <m:r>
            <m:t>k=</m:t>
          </m:r>
          <m:f>
            <m:fPr>
              <m:type m:val="bar"/>
            </m:fPr>
            <m:num>
              <m:nary>
                <m:naryPr>
                  <m:chr m:val="∑"/>
                  <m:limLoc m:val="subSup"/>
                  <m:grow m:val="1"/>
                  <m:subHide m:val="off"/>
                  <m:supHide m:val="on"/>
                </m:naryPr>
                <m:sub>
                  <m:r>
                    <m:t>i</m:t>
                  </m:r>
                </m:sub>
                <m:sup/>
                <m:e>
                  <m:sSub>
                    <m:e>
                      <m:r>
                        <m:t>w</m:t>
                      </m:r>
                    </m:e>
                    <m:sub>
                      <m:r>
                        <m:t>i</m:t>
                      </m:r>
                    </m:sub>
                  </m:sSub>
                </m:e>
              </m:nary>
              <m:r>
                <m:t>(</m:t>
              </m:r>
              <m:sSub>
                <m:e>
                  <m:r>
                    <m:t>y</m:t>
                  </m:r>
                </m:e>
                <m:sub>
                  <m:r>
                    <m:t>i</m:t>
                  </m:r>
                </m:sub>
              </m:sSub>
              <m:r>
                <m:t>−</m:t>
              </m:r>
              <m:bar>
                <m:barPr>
                  <m:pos m:val="top"/>
                </m:barPr>
                <m:e>
                  <m:r>
                    <m:t>y</m:t>
                  </m:r>
                </m:e>
              </m:bar>
              <m:r>
                <m:t>)(</m:t>
              </m:r>
              <m:sSub>
                <m:e>
                  <m:r>
                    <m:t>x</m:t>
                  </m:r>
                </m:e>
                <m:sub>
                  <m:r>
                    <m:t>i</m:t>
                  </m:r>
                </m:sub>
              </m:sSub>
              <m:r>
                <m:t>−</m:t>
              </m:r>
              <m:bar>
                <m:barPr>
                  <m:pos m:val="top"/>
                </m:barPr>
                <m:e>
                  <m:r>
                    <m:t>x</m:t>
                  </m:r>
                </m:e>
              </m:bar>
              <m:r>
                <m:t>)</m:t>
              </m:r>
            </m:num>
            <m:den>
              <m:nary>
                <m:naryPr>
                  <m:chr m:val="∑"/>
                  <m:limLoc m:val="subSup"/>
                  <m:grow m:val="1"/>
                  <m:subHide m:val="off"/>
                  <m:supHide m:val="on"/>
                </m:naryPr>
                <m:sub>
                  <m:r>
                    <m:t>i</m:t>
                  </m:r>
                </m:sub>
                <m:sup/>
                <m:e>
                  <m:sSub>
                    <m:e>
                      <m:r>
                        <m:t>w</m:t>
                      </m:r>
                    </m:e>
                    <m:sub>
                      <m:r>
                        <m:t>i</m:t>
                      </m:r>
                    </m:sub>
                  </m:sSub>
                </m:e>
              </m:nary>
              <m:r>
                <m:t>(</m:t>
              </m:r>
              <m:sSub>
                <m:e>
                  <m:r>
                    <m:t>y</m:t>
                  </m:r>
                </m:e>
                <m:sub>
                  <m:r>
                    <m:t>i</m:t>
                  </m:r>
                </m:sub>
              </m:sSub>
              <m:r>
                <m:t>−</m:t>
              </m:r>
              <m:bar>
                <m:barPr>
                  <m:pos m:val="top"/>
                </m:barPr>
                <m:e>
                  <m:r>
                    <m:t>y</m:t>
                  </m:r>
                </m:e>
              </m:bar>
              <m:sSup>
                <m:e>
                  <m:r>
                    <m:t>)</m:t>
                  </m:r>
                </m:e>
                <m:sup>
                  <m:r>
                    <m:t>2</m:t>
                  </m:r>
                </m:sup>
              </m:sSup>
            </m:den>
          </m:f>
          <m:r>
            <m:t>,</m:t>
          </m:r>
          <m:r>
            <m:t>b=</m:t>
          </m:r>
          <m:bar>
            <m:barPr>
              <m:pos m:val="top"/>
            </m:barPr>
            <m:e>
              <m:r>
                <m:t>x</m:t>
              </m:r>
            </m:e>
          </m:bar>
          <m:r>
            <m:t>−k</m:t>
          </m:r>
          <m:bar>
            <m:barPr>
              <m:pos m:val="top"/>
            </m:barPr>
            <m:e>
              <m:r>
                <m:t>y</m:t>
              </m:r>
            </m:e>
          </m:bar>
        </m:oMath>
      </m:oMathPara>
    </w:p>
    <w:p>
      <w:pPr>
        <w:widowControl/>
        <w:spacing w:after="120" w:line="283" w:lineRule="auto"/>
        <w:jc w:val="both"/>
      </w:pPr>
      <w:r>
        <w:rPr>
          <w:rFonts w:ascii="Calibri" w:hAnsi="Calibri" w:eastAsia="Calibri"/>
          <w:color w:val="000000"/>
          <w:sz w:val="25"/>
        </w:rPr>
        <w:t>Kiểm tra lại dấu và khoảng độ dốc sau fit; không xuất đường đảo hướng. Mỗi đường được cắt theo khung ảnh bằng cv2.clipLine thay vì ép x vào biên ảnh làm đổi hướng đường.</w:t>
      </w:r>
    </w:p>
    <w:p>
      <w:pPr>
        <w:widowControl/>
        <w:spacing w:after="120" w:line="283" w:lineRule="auto"/>
        <w:jc w:val="both"/>
      </w:pPr>
      <w:r>
        <w:rPr>
          <w:rFonts w:ascii="Calibri" w:hAnsi="Calibri" w:eastAsia="Calibri"/>
          <w:color w:val="000000"/>
          <w:sz w:val="25"/>
        </w:rPr>
        <w:t>Đa giác chỉ dùng khoảng y chung của hai đường. Nếu hai đường giao nhau trong khoảng đang xét, đỉnh vùng đường được dời xuống dưới giao điểm, sao cho biên trái luôn nằm trước biên phải và có bề rộng dương. Nếu thứ tự sai ở đáy hoặc không còn diện tích chung thì polygon=None. Hai đường xuất cùng polygon được rút về cùng miền y. Cách này ngăn đa giác hình nơ, không chứng minh biên được chọn là đúng về ngữ nghĩa.</w:t>
      </w:r>
    </w:p>
    <w:p>
      <w:pPr>
        <w:keepLines/>
        <w:spacing w:before="80" w:after="60"/>
        <w:jc w:val="center"/>
      </w:pPr>
      <w:r>
        <w:drawing>
          <wp:inline xmlns:a="http://schemas.openxmlformats.org/drawingml/2006/main" xmlns:pic="http://schemas.openxmlformats.org/drawingml/2006/picture">
            <wp:extent cx="5112000" cy="2982000"/>
            <wp:docPr id="2" name="Picture 2"/>
            <wp:cNvGraphicFramePr>
              <a:graphicFrameLocks noChangeAspect="1"/>
            </wp:cNvGraphicFramePr>
            <a:graphic>
              <a:graphicData uri="http://schemas.openxmlformats.org/drawingml/2006/picture">
                <pic:pic>
                  <pic:nvPicPr>
                    <pic:cNvPr id="0" name="figure_1_hough_pipeline_stages.png"/>
                    <pic:cNvPicPr/>
                  </pic:nvPicPr>
                  <pic:blipFill>
                    <a:blip r:embed="rId12"/>
                    <a:stretch>
                      <a:fillRect/>
                    </a:stretch>
                  </pic:blipFill>
                  <pic:spPr>
                    <a:xfrm>
                      <a:off x="0" y="0"/>
                      <a:ext cx="5112000" cy="2982000"/>
                    </a:xfrm>
                    <a:prstGeom prst="rect"/>
                  </pic:spPr>
                </pic:pic>
              </a:graphicData>
            </a:graphic>
          </wp:inline>
        </w:drawing>
      </w:r>
    </w:p>
    <w:p>
      <w:pPr>
        <w:keepLines/>
        <w:spacing w:after="160"/>
        <w:jc w:val="center"/>
      </w:pPr>
      <w:r>
        <w:rPr>
          <w:rFonts w:ascii="Calibri" w:hAnsi="Calibri" w:eastAsia="Calibri"/>
          <w:i/>
          <w:color w:val="000000"/>
          <w:sz w:val="21"/>
        </w:rPr>
        <w:t>Hình 4.2. Canny → ROI → ứng viên slope → consensus/WLS → vùng đường hợp lệ.</w:t>
      </w:r>
    </w:p>
    <w:p>
      <w:pPr>
        <w:pStyle w:val="Heading1"/>
      </w:pPr>
      <w:r>
        <w:t>5. Quy ước đánh giá</w:t>
      </w:r>
    </w:p>
    <w:p>
      <w:pPr>
        <w:widowControl/>
        <w:spacing w:after="120" w:line="283" w:lineRule="auto"/>
        <w:jc w:val="both"/>
      </w:pPr>
      <w:r>
        <w:rPr>
          <w:rFonts w:ascii="Calibri" w:hAnsi="Calibri" w:eastAsia="Calibri"/>
          <w:color w:val="000000"/>
          <w:sz w:val="25"/>
        </w:rPr>
        <w:t>IoU chính tính trên toàn ảnh và trung bình trên tất cả ảnh. Thiếu hoặc sai hình học polygon được xem như dự đoán mask rỗng, không bị loại khỏi mẫu số. Không cắt ground truth theo ROI để tăng điểm. IoU trên nhóm có polygon chỉ là thống kê phụ, ghi riêng trong CSV.</w:t>
      </w:r>
    </w:p>
    <w:p>
      <w:pPr>
        <w:widowControl/>
        <w:spacing w:after="120" w:line="283" w:lineRule="auto"/>
        <w:jc w:val="both"/>
      </w:pPr>
      <w:r>
        <w:rPr>
          <w:rFonts w:ascii="Calibri" w:hAnsi="Calibri" w:eastAsia="Calibri"/>
          <w:color w:val="000000"/>
          <w:sz w:val="25"/>
        </w:rPr>
        <w:t>MAE tuân theo phần 1: lấy x trái nhất/phải nhất của ground truth tại ba hàng 60%,75%,90% H. Chỉ tính MAE ảnh nếu có cả hai đường, polygon hợp lệ, đủ ground truth và đủ miền y tại cả ba hàng. Không ngoại suy qua phần đã cắt và không thay lỗi thiếu bằng 0. Luôn báo N đo MAE bên cạnh trung bình ± độ lệch chuẩn (ddof=0).</w:t>
      </w:r>
    </w:p>
    <w:p>
      <w:pPr>
        <w:widowControl/>
        <w:spacing w:after="120" w:line="283" w:lineRule="auto"/>
        <w:jc w:val="both"/>
      </w:pPr>
      <w:r>
        <w:rPr>
          <w:rFonts w:ascii="Calibri" w:hAnsi="Calibri" w:eastAsia="Calibri"/>
          <w:color w:val="000000"/>
          <w:sz w:val="25"/>
        </w:rPr>
        <w:t>SR15 là số ảnh có MAE &lt; 15px chia cho toàn bộ số ảnh. Thiếu biên hoặc thiếu mặt cắt tính là không thành công. Các tỷ lệ left/right/both/polygon available chỉ đo có đầu ra, không được gọi là độ chính xác.</w:t>
      </w:r>
    </w:p>
    <w:tbl>
      <w:tblPr>
        <w:tblStyle w:val="TableGrid"/>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rPr>
          <w:cantSplit/>
          <w:tblHeader w:val="true"/>
        </w:trPr>
        <w:tc>
          <w:tcPr>
            <w:tcW w:type="dxa" w:w="1296"/>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Nhóm</w:t>
            </w:r>
          </w:p>
        </w:tc>
        <w:tc>
          <w:tcPr>
            <w:tcW w:type="dxa" w:w="1296"/>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N</w:t>
            </w:r>
          </w:p>
        </w:tc>
        <w:tc>
          <w:tcPr>
            <w:tcW w:type="dxa" w:w="1296"/>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Có polygon (%)</w:t>
            </w:r>
          </w:p>
        </w:tc>
        <w:tc>
          <w:tcPr>
            <w:tcW w:type="dxa" w:w="1296"/>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IoU toàn tập ± σ</w:t>
            </w:r>
          </w:p>
        </w:tc>
        <w:tc>
          <w:tcPr>
            <w:tcW w:type="dxa" w:w="1296"/>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N đo MAE</w:t>
            </w:r>
          </w:p>
        </w:tc>
        <w:tc>
          <w:tcPr>
            <w:tcW w:type="dxa" w:w="1296"/>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MAE ± σ (px)</w:t>
            </w:r>
          </w:p>
        </w:tc>
        <w:tc>
          <w:tcPr>
            <w:tcW w:type="dxa" w:w="1296"/>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SR15 (%)</w:t>
            </w:r>
          </w:p>
        </w:tc>
      </w:tr>
      <w:tr>
        <w:trPr>
          <w:cantSplit/>
        </w:trPr>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normal</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18</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50.0</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0.1721 ± 0.1931</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1</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219.13 ± 0.00</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0.0</w:t>
            </w:r>
          </w:p>
        </w:tc>
      </w:tr>
      <w:tr>
        <w:trPr>
          <w:cantSplit/>
        </w:trPr>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curved</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12</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50.0</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0.1919 ± 0.1998</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3</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189.61 ± 23.89</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0.0</w:t>
            </w:r>
          </w:p>
        </w:tc>
      </w:tr>
      <w:tr>
        <w:trPr>
          <w:cantSplit/>
        </w:trPr>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adverse</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20</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60.0</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0.1656 ± 0.1680</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6</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322.67 ± 75.95</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0.0</w:t>
            </w:r>
          </w:p>
        </w:tc>
      </w:tr>
      <w:tr>
        <w:trPr>
          <w:cantSplit/>
        </w:trPr>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all</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50</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54.0</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0.1743 ± 0.1855</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10</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272.40 ± 86.54</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0.0</w:t>
            </w:r>
          </w:p>
        </w:tc>
      </w:tr>
    </w:tbl>
    <w:p>
      <w:pPr>
        <w:spacing w:after="0"/>
      </w:pPr>
    </w:p>
    <w:p>
      <w:pPr>
        <w:widowControl/>
        <w:spacing w:after="120" w:line="283" w:lineRule="auto"/>
        <w:jc w:val="both"/>
      </w:pPr>
      <w:r>
        <w:rPr>
          <w:rFonts w:ascii="Calibri" w:hAnsi="Calibri" w:eastAsia="Calibri"/>
          <w:color w:val="000000"/>
          <w:sz w:val="25"/>
        </w:rPr>
        <w:t>Số liệu trên là kết quả mô hình đường thẳng với cấu hình cố định, không phải kết quả tối ưu hoặc chứng minh tổng quát hóa. MAE có thể dựa trên một tập con nhỏ và không được đọc tách khỏi coverage, IoU toàn tập và SR15.</w:t>
      </w:r>
    </w:p>
    <w:p>
      <w:pPr>
        <w:pStyle w:val="Heading1"/>
      </w:pPr>
      <w:r>
        <w:t>6. Khảo sát tham số Hough trên cùng đầu vào</w:t>
      </w:r>
    </w:p>
    <w:p>
      <w:pPr>
        <w:widowControl/>
        <w:spacing w:after="120" w:line="283" w:lineRule="auto"/>
        <w:jc w:val="both"/>
      </w:pPr>
      <w:r>
        <w:rPr>
          <w:rFonts w:ascii="Calibri" w:hAnsi="Calibri" w:eastAsia="Calibri"/>
          <w:color w:val="000000"/>
          <w:sz w:val="25"/>
        </w:rPr>
        <w:t>Mọi cấu hình dưới đây dùng nguyên cùng ảnh cạnh Canny đã bàn giao. Chỉ thay tham số P-Hough; không chạy lại Canny, đổi ngưỡng HSV hoặc tạo nhánh đầu vào khác. Vì vậy đây là khảo sát phần 4, không phải kết luận cải tiến module tiền xử lý/Canny.</w:t>
      </w:r>
    </w:p>
    <w:p>
      <w:pPr>
        <w:widowControl/>
        <w:spacing w:after="120" w:line="283" w:lineRule="auto"/>
        <w:jc w:val="both"/>
      </w:pPr>
      <w:r>
        <w:rPr>
          <w:rFonts w:ascii="Calibri" w:hAnsi="Calibri" w:eastAsia="Calibri"/>
          <w:color w:val="000000"/>
          <w:sz w:val="25"/>
        </w:rPr>
        <w:t>Lưới 27 tổ hợp: threshold ∈ {15,25,35}, minLineLength ∈ {20,25,45}, maxLineGap ∈ {15,25,35}. Lưới có cấu hình mặc định (25,25,25). Bảng dưới gồm mặc định và tối đa bốn cấu hình có IoU toàn tập cao nhất trong khảo sát; toàn bộ dữ liệu ở hough_parameters_grid.csv.</w:t>
      </w:r>
    </w:p>
    <w:tbl>
      <w:tblPr>
        <w:tblStyle w:val="TableGrid"/>
        <w:tblW w:type="auto" w:w="0"/>
        <w:jc w:val="center"/>
        <w:tblLayout w:type="autofit"/>
        <w:tblLook w:firstColumn="1" w:firstRow="1" w:lastColumn="0" w:lastRow="0" w:noHBand="0" w:noVBand="1" w:val="04A0"/>
      </w:tblPr>
      <w:tblGrid>
        <w:gridCol w:w="1512"/>
        <w:gridCol w:w="1512"/>
        <w:gridCol w:w="1512"/>
        <w:gridCol w:w="1512"/>
        <w:gridCol w:w="1512"/>
        <w:gridCol w:w="1512"/>
      </w:tblGrid>
      <w:tr>
        <w:trPr>
          <w:cantSplit/>
          <w:tblHeader w:val="true"/>
        </w:trPr>
        <w:tc>
          <w:tcPr>
            <w:tcW w:type="dxa" w:w="1512"/>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threshold</w:t>
            </w:r>
          </w:p>
        </w:tc>
        <w:tc>
          <w:tcPr>
            <w:tcW w:type="dxa" w:w="1512"/>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minLineLength</w:t>
            </w:r>
          </w:p>
        </w:tc>
        <w:tc>
          <w:tcPr>
            <w:tcW w:type="dxa" w:w="1512"/>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maxLineGap</w:t>
            </w:r>
          </w:p>
        </w:tc>
        <w:tc>
          <w:tcPr>
            <w:tcW w:type="dxa" w:w="1512"/>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IoU toàn tập</w:t>
            </w:r>
          </w:p>
        </w:tc>
        <w:tc>
          <w:tcPr>
            <w:tcW w:type="dxa" w:w="1512"/>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N đo MAE</w:t>
            </w:r>
          </w:p>
        </w:tc>
        <w:tc>
          <w:tcPr>
            <w:tcW w:type="dxa" w:w="1512"/>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MAE (px)</w:t>
            </w:r>
          </w:p>
        </w:tc>
      </w:tr>
      <w:tr>
        <w:trPr>
          <w:cantSplit/>
        </w:trPr>
        <w:tc>
          <w:tcPr>
            <w:tcW w:type="dxa" w:w="1512"/>
            <w:vAlign w:val="center"/>
            <w:tcMar>
              <w:top w:w="90" w:type="dxa"/>
              <w:start w:w="110" w:type="dxa"/>
              <w:bottom w:w="90" w:type="dxa"/>
              <w:end w:w="110" w:type="dxa"/>
            </w:tcMar>
          </w:tcPr>
          <w:p>
            <w:pPr>
              <w:spacing w:after="0"/>
              <w:jc w:val="left"/>
            </w:pPr>
            <w:r>
              <w:rPr>
                <w:rFonts w:ascii="Calibri" w:hAnsi="Calibri" w:eastAsia="Calibri"/>
                <w:color w:val="000000"/>
                <w:sz w:val="21"/>
              </w:rPr>
              <w:t>25</w:t>
            </w:r>
          </w:p>
        </w:tc>
        <w:tc>
          <w:tcPr>
            <w:tcW w:type="dxa" w:w="1512"/>
            <w:vAlign w:val="center"/>
            <w:tcMar>
              <w:top w:w="90" w:type="dxa"/>
              <w:start w:w="110" w:type="dxa"/>
              <w:bottom w:w="90" w:type="dxa"/>
              <w:end w:w="110" w:type="dxa"/>
            </w:tcMar>
          </w:tcPr>
          <w:p>
            <w:pPr>
              <w:spacing w:after="0"/>
              <w:jc w:val="left"/>
            </w:pPr>
            <w:r>
              <w:rPr>
                <w:rFonts w:ascii="Calibri" w:hAnsi="Calibri" w:eastAsia="Calibri"/>
                <w:color w:val="000000"/>
                <w:sz w:val="21"/>
              </w:rPr>
              <w:t>25</w:t>
            </w:r>
          </w:p>
        </w:tc>
        <w:tc>
          <w:tcPr>
            <w:tcW w:type="dxa" w:w="1512"/>
            <w:vAlign w:val="center"/>
            <w:tcMar>
              <w:top w:w="90" w:type="dxa"/>
              <w:start w:w="110" w:type="dxa"/>
              <w:bottom w:w="90" w:type="dxa"/>
              <w:end w:w="110" w:type="dxa"/>
            </w:tcMar>
          </w:tcPr>
          <w:p>
            <w:pPr>
              <w:spacing w:after="0"/>
              <w:jc w:val="left"/>
            </w:pPr>
            <w:r>
              <w:rPr>
                <w:rFonts w:ascii="Calibri" w:hAnsi="Calibri" w:eastAsia="Calibri"/>
                <w:color w:val="000000"/>
                <w:sz w:val="21"/>
              </w:rPr>
              <w:t>25</w:t>
            </w:r>
          </w:p>
        </w:tc>
        <w:tc>
          <w:tcPr>
            <w:tcW w:type="dxa" w:w="1512"/>
            <w:vAlign w:val="center"/>
            <w:tcMar>
              <w:top w:w="90" w:type="dxa"/>
              <w:start w:w="110" w:type="dxa"/>
              <w:bottom w:w="90" w:type="dxa"/>
              <w:end w:w="110" w:type="dxa"/>
            </w:tcMar>
          </w:tcPr>
          <w:p>
            <w:pPr>
              <w:spacing w:after="0"/>
              <w:jc w:val="left"/>
            </w:pPr>
            <w:r>
              <w:rPr>
                <w:rFonts w:ascii="Calibri" w:hAnsi="Calibri" w:eastAsia="Calibri"/>
                <w:color w:val="000000"/>
                <w:sz w:val="21"/>
              </w:rPr>
              <w:t>0.1743</w:t>
            </w:r>
          </w:p>
        </w:tc>
        <w:tc>
          <w:tcPr>
            <w:tcW w:type="dxa" w:w="1512"/>
            <w:vAlign w:val="center"/>
            <w:tcMar>
              <w:top w:w="90" w:type="dxa"/>
              <w:start w:w="110" w:type="dxa"/>
              <w:bottom w:w="90" w:type="dxa"/>
              <w:end w:w="110" w:type="dxa"/>
            </w:tcMar>
          </w:tcPr>
          <w:p>
            <w:pPr>
              <w:spacing w:after="0"/>
              <w:jc w:val="left"/>
            </w:pPr>
            <w:r>
              <w:rPr>
                <w:rFonts w:ascii="Calibri" w:hAnsi="Calibri" w:eastAsia="Calibri"/>
                <w:color w:val="000000"/>
                <w:sz w:val="21"/>
              </w:rPr>
              <w:t>10</w:t>
            </w:r>
          </w:p>
        </w:tc>
        <w:tc>
          <w:tcPr>
            <w:tcW w:type="dxa" w:w="1512"/>
            <w:vAlign w:val="center"/>
            <w:tcMar>
              <w:top w:w="90" w:type="dxa"/>
              <w:start w:w="110" w:type="dxa"/>
              <w:bottom w:w="90" w:type="dxa"/>
              <w:end w:w="110" w:type="dxa"/>
            </w:tcMar>
          </w:tcPr>
          <w:p>
            <w:pPr>
              <w:spacing w:after="0"/>
              <w:jc w:val="left"/>
            </w:pPr>
            <w:r>
              <w:rPr>
                <w:rFonts w:ascii="Calibri" w:hAnsi="Calibri" w:eastAsia="Calibri"/>
                <w:color w:val="000000"/>
                <w:sz w:val="21"/>
              </w:rPr>
              <w:t>272.40</w:t>
            </w:r>
          </w:p>
        </w:tc>
      </w:tr>
      <w:tr>
        <w:trPr>
          <w:cantSplit/>
        </w:trPr>
        <w:tc>
          <w:tcPr>
            <w:tcW w:type="dxa" w:w="1512"/>
            <w:vAlign w:val="center"/>
            <w:tcMar>
              <w:top w:w="90" w:type="dxa"/>
              <w:start w:w="110" w:type="dxa"/>
              <w:bottom w:w="90" w:type="dxa"/>
              <w:end w:w="110" w:type="dxa"/>
            </w:tcMar>
          </w:tcPr>
          <w:p>
            <w:pPr>
              <w:spacing w:after="0"/>
              <w:jc w:val="left"/>
            </w:pPr>
            <w:r>
              <w:rPr>
                <w:rFonts w:ascii="Calibri" w:hAnsi="Calibri" w:eastAsia="Calibri"/>
                <w:color w:val="000000"/>
                <w:sz w:val="21"/>
              </w:rPr>
              <w:t>15</w:t>
            </w:r>
          </w:p>
        </w:tc>
        <w:tc>
          <w:tcPr>
            <w:tcW w:type="dxa" w:w="1512"/>
            <w:vAlign w:val="center"/>
            <w:tcMar>
              <w:top w:w="90" w:type="dxa"/>
              <w:start w:w="110" w:type="dxa"/>
              <w:bottom w:w="90" w:type="dxa"/>
              <w:end w:w="110" w:type="dxa"/>
            </w:tcMar>
          </w:tcPr>
          <w:p>
            <w:pPr>
              <w:spacing w:after="0"/>
              <w:jc w:val="left"/>
            </w:pPr>
            <w:r>
              <w:rPr>
                <w:rFonts w:ascii="Calibri" w:hAnsi="Calibri" w:eastAsia="Calibri"/>
                <w:color w:val="000000"/>
                <w:sz w:val="21"/>
              </w:rPr>
              <w:t>20</w:t>
            </w:r>
          </w:p>
        </w:tc>
        <w:tc>
          <w:tcPr>
            <w:tcW w:type="dxa" w:w="1512"/>
            <w:vAlign w:val="center"/>
            <w:tcMar>
              <w:top w:w="90" w:type="dxa"/>
              <w:start w:w="110" w:type="dxa"/>
              <w:bottom w:w="90" w:type="dxa"/>
              <w:end w:w="110" w:type="dxa"/>
            </w:tcMar>
          </w:tcPr>
          <w:p>
            <w:pPr>
              <w:spacing w:after="0"/>
              <w:jc w:val="left"/>
            </w:pPr>
            <w:r>
              <w:rPr>
                <w:rFonts w:ascii="Calibri" w:hAnsi="Calibri" w:eastAsia="Calibri"/>
                <w:color w:val="000000"/>
                <w:sz w:val="21"/>
              </w:rPr>
              <w:t>25</w:t>
            </w:r>
          </w:p>
        </w:tc>
        <w:tc>
          <w:tcPr>
            <w:tcW w:type="dxa" w:w="1512"/>
            <w:vAlign w:val="center"/>
            <w:tcMar>
              <w:top w:w="90" w:type="dxa"/>
              <w:start w:w="110" w:type="dxa"/>
              <w:bottom w:w="90" w:type="dxa"/>
              <w:end w:w="110" w:type="dxa"/>
            </w:tcMar>
          </w:tcPr>
          <w:p>
            <w:pPr>
              <w:spacing w:after="0"/>
              <w:jc w:val="left"/>
            </w:pPr>
            <w:r>
              <w:rPr>
                <w:rFonts w:ascii="Calibri" w:hAnsi="Calibri" w:eastAsia="Calibri"/>
                <w:color w:val="000000"/>
                <w:sz w:val="21"/>
              </w:rPr>
              <w:t>0.2579</w:t>
            </w:r>
          </w:p>
        </w:tc>
        <w:tc>
          <w:tcPr>
            <w:tcW w:type="dxa" w:w="1512"/>
            <w:vAlign w:val="center"/>
            <w:tcMar>
              <w:top w:w="90" w:type="dxa"/>
              <w:start w:w="110" w:type="dxa"/>
              <w:bottom w:w="90" w:type="dxa"/>
              <w:end w:w="110" w:type="dxa"/>
            </w:tcMar>
          </w:tcPr>
          <w:p>
            <w:pPr>
              <w:spacing w:after="0"/>
              <w:jc w:val="left"/>
            </w:pPr>
            <w:r>
              <w:rPr>
                <w:rFonts w:ascii="Calibri" w:hAnsi="Calibri" w:eastAsia="Calibri"/>
                <w:color w:val="000000"/>
                <w:sz w:val="21"/>
              </w:rPr>
              <w:t>14</w:t>
            </w:r>
          </w:p>
        </w:tc>
        <w:tc>
          <w:tcPr>
            <w:tcW w:type="dxa" w:w="1512"/>
            <w:vAlign w:val="center"/>
            <w:tcMar>
              <w:top w:w="90" w:type="dxa"/>
              <w:start w:w="110" w:type="dxa"/>
              <w:bottom w:w="90" w:type="dxa"/>
              <w:end w:w="110" w:type="dxa"/>
            </w:tcMar>
          </w:tcPr>
          <w:p>
            <w:pPr>
              <w:spacing w:after="0"/>
              <w:jc w:val="left"/>
            </w:pPr>
            <w:r>
              <w:rPr>
                <w:rFonts w:ascii="Calibri" w:hAnsi="Calibri" w:eastAsia="Calibri"/>
                <w:color w:val="000000"/>
                <w:sz w:val="21"/>
              </w:rPr>
              <w:t>239.86</w:t>
            </w:r>
          </w:p>
        </w:tc>
      </w:tr>
      <w:tr>
        <w:trPr>
          <w:cantSplit/>
        </w:trPr>
        <w:tc>
          <w:tcPr>
            <w:tcW w:type="dxa" w:w="1512"/>
            <w:vAlign w:val="center"/>
            <w:tcMar>
              <w:top w:w="90" w:type="dxa"/>
              <w:start w:w="110" w:type="dxa"/>
              <w:bottom w:w="90" w:type="dxa"/>
              <w:end w:w="110" w:type="dxa"/>
            </w:tcMar>
          </w:tcPr>
          <w:p>
            <w:pPr>
              <w:spacing w:after="0"/>
              <w:jc w:val="left"/>
            </w:pPr>
            <w:r>
              <w:rPr>
                <w:rFonts w:ascii="Calibri" w:hAnsi="Calibri" w:eastAsia="Calibri"/>
                <w:color w:val="000000"/>
                <w:sz w:val="21"/>
              </w:rPr>
              <w:t>15</w:t>
            </w:r>
          </w:p>
        </w:tc>
        <w:tc>
          <w:tcPr>
            <w:tcW w:type="dxa" w:w="1512"/>
            <w:vAlign w:val="center"/>
            <w:tcMar>
              <w:top w:w="90" w:type="dxa"/>
              <w:start w:w="110" w:type="dxa"/>
              <w:bottom w:w="90" w:type="dxa"/>
              <w:end w:w="110" w:type="dxa"/>
            </w:tcMar>
          </w:tcPr>
          <w:p>
            <w:pPr>
              <w:spacing w:after="0"/>
              <w:jc w:val="left"/>
            </w:pPr>
            <w:r>
              <w:rPr>
                <w:rFonts w:ascii="Calibri" w:hAnsi="Calibri" w:eastAsia="Calibri"/>
                <w:color w:val="000000"/>
                <w:sz w:val="21"/>
              </w:rPr>
              <w:t>25</w:t>
            </w:r>
          </w:p>
        </w:tc>
        <w:tc>
          <w:tcPr>
            <w:tcW w:type="dxa" w:w="1512"/>
            <w:vAlign w:val="center"/>
            <w:tcMar>
              <w:top w:w="90" w:type="dxa"/>
              <w:start w:w="110" w:type="dxa"/>
              <w:bottom w:w="90" w:type="dxa"/>
              <w:end w:w="110" w:type="dxa"/>
            </w:tcMar>
          </w:tcPr>
          <w:p>
            <w:pPr>
              <w:spacing w:after="0"/>
              <w:jc w:val="left"/>
            </w:pPr>
            <w:r>
              <w:rPr>
                <w:rFonts w:ascii="Calibri" w:hAnsi="Calibri" w:eastAsia="Calibri"/>
                <w:color w:val="000000"/>
                <w:sz w:val="21"/>
              </w:rPr>
              <w:t>25</w:t>
            </w:r>
          </w:p>
        </w:tc>
        <w:tc>
          <w:tcPr>
            <w:tcW w:type="dxa" w:w="1512"/>
            <w:vAlign w:val="center"/>
            <w:tcMar>
              <w:top w:w="90" w:type="dxa"/>
              <w:start w:w="110" w:type="dxa"/>
              <w:bottom w:w="90" w:type="dxa"/>
              <w:end w:w="110" w:type="dxa"/>
            </w:tcMar>
          </w:tcPr>
          <w:p>
            <w:pPr>
              <w:spacing w:after="0"/>
              <w:jc w:val="left"/>
            </w:pPr>
            <w:r>
              <w:rPr>
                <w:rFonts w:ascii="Calibri" w:hAnsi="Calibri" w:eastAsia="Calibri"/>
                <w:color w:val="000000"/>
                <w:sz w:val="21"/>
              </w:rPr>
              <w:t>0.2506</w:t>
            </w:r>
          </w:p>
        </w:tc>
        <w:tc>
          <w:tcPr>
            <w:tcW w:type="dxa" w:w="1512"/>
            <w:vAlign w:val="center"/>
            <w:tcMar>
              <w:top w:w="90" w:type="dxa"/>
              <w:start w:w="110" w:type="dxa"/>
              <w:bottom w:w="90" w:type="dxa"/>
              <w:end w:w="110" w:type="dxa"/>
            </w:tcMar>
          </w:tcPr>
          <w:p>
            <w:pPr>
              <w:spacing w:after="0"/>
              <w:jc w:val="left"/>
            </w:pPr>
            <w:r>
              <w:rPr>
                <w:rFonts w:ascii="Calibri" w:hAnsi="Calibri" w:eastAsia="Calibri"/>
                <w:color w:val="000000"/>
                <w:sz w:val="21"/>
              </w:rPr>
              <w:t>13</w:t>
            </w:r>
          </w:p>
        </w:tc>
        <w:tc>
          <w:tcPr>
            <w:tcW w:type="dxa" w:w="1512"/>
            <w:vAlign w:val="center"/>
            <w:tcMar>
              <w:top w:w="90" w:type="dxa"/>
              <w:start w:w="110" w:type="dxa"/>
              <w:bottom w:w="90" w:type="dxa"/>
              <w:end w:w="110" w:type="dxa"/>
            </w:tcMar>
          </w:tcPr>
          <w:p>
            <w:pPr>
              <w:spacing w:after="0"/>
              <w:jc w:val="left"/>
            </w:pPr>
            <w:r>
              <w:rPr>
                <w:rFonts w:ascii="Calibri" w:hAnsi="Calibri" w:eastAsia="Calibri"/>
                <w:color w:val="000000"/>
                <w:sz w:val="21"/>
              </w:rPr>
              <w:t>243.68</w:t>
            </w:r>
          </w:p>
        </w:tc>
      </w:tr>
      <w:tr>
        <w:trPr>
          <w:cantSplit/>
        </w:trPr>
        <w:tc>
          <w:tcPr>
            <w:tcW w:type="dxa" w:w="1512"/>
            <w:vAlign w:val="center"/>
            <w:tcMar>
              <w:top w:w="90" w:type="dxa"/>
              <w:start w:w="110" w:type="dxa"/>
              <w:bottom w:w="90" w:type="dxa"/>
              <w:end w:w="110" w:type="dxa"/>
            </w:tcMar>
          </w:tcPr>
          <w:p>
            <w:pPr>
              <w:spacing w:after="0"/>
              <w:jc w:val="left"/>
            </w:pPr>
            <w:r>
              <w:rPr>
                <w:rFonts w:ascii="Calibri" w:hAnsi="Calibri" w:eastAsia="Calibri"/>
                <w:color w:val="000000"/>
                <w:sz w:val="21"/>
              </w:rPr>
              <w:t>15</w:t>
            </w:r>
          </w:p>
        </w:tc>
        <w:tc>
          <w:tcPr>
            <w:tcW w:type="dxa" w:w="1512"/>
            <w:vAlign w:val="center"/>
            <w:tcMar>
              <w:top w:w="90" w:type="dxa"/>
              <w:start w:w="110" w:type="dxa"/>
              <w:bottom w:w="90" w:type="dxa"/>
              <w:end w:w="110" w:type="dxa"/>
            </w:tcMar>
          </w:tcPr>
          <w:p>
            <w:pPr>
              <w:spacing w:after="0"/>
              <w:jc w:val="left"/>
            </w:pPr>
            <w:r>
              <w:rPr>
                <w:rFonts w:ascii="Calibri" w:hAnsi="Calibri" w:eastAsia="Calibri"/>
                <w:color w:val="000000"/>
                <w:sz w:val="21"/>
              </w:rPr>
              <w:t>20</w:t>
            </w:r>
          </w:p>
        </w:tc>
        <w:tc>
          <w:tcPr>
            <w:tcW w:type="dxa" w:w="1512"/>
            <w:vAlign w:val="center"/>
            <w:tcMar>
              <w:top w:w="90" w:type="dxa"/>
              <w:start w:w="110" w:type="dxa"/>
              <w:bottom w:w="90" w:type="dxa"/>
              <w:end w:w="110" w:type="dxa"/>
            </w:tcMar>
          </w:tcPr>
          <w:p>
            <w:pPr>
              <w:spacing w:after="0"/>
              <w:jc w:val="left"/>
            </w:pPr>
            <w:r>
              <w:rPr>
                <w:rFonts w:ascii="Calibri" w:hAnsi="Calibri" w:eastAsia="Calibri"/>
                <w:color w:val="000000"/>
                <w:sz w:val="21"/>
              </w:rPr>
              <w:t>35</w:t>
            </w:r>
          </w:p>
        </w:tc>
        <w:tc>
          <w:tcPr>
            <w:tcW w:type="dxa" w:w="1512"/>
            <w:vAlign w:val="center"/>
            <w:tcMar>
              <w:top w:w="90" w:type="dxa"/>
              <w:start w:w="110" w:type="dxa"/>
              <w:bottom w:w="90" w:type="dxa"/>
              <w:end w:w="110" w:type="dxa"/>
            </w:tcMar>
          </w:tcPr>
          <w:p>
            <w:pPr>
              <w:spacing w:after="0"/>
              <w:jc w:val="left"/>
            </w:pPr>
            <w:r>
              <w:rPr>
                <w:rFonts w:ascii="Calibri" w:hAnsi="Calibri" w:eastAsia="Calibri"/>
                <w:color w:val="000000"/>
                <w:sz w:val="21"/>
              </w:rPr>
              <w:t>0.2440</w:t>
            </w:r>
          </w:p>
        </w:tc>
        <w:tc>
          <w:tcPr>
            <w:tcW w:type="dxa" w:w="1512"/>
            <w:vAlign w:val="center"/>
            <w:tcMar>
              <w:top w:w="90" w:type="dxa"/>
              <w:start w:w="110" w:type="dxa"/>
              <w:bottom w:w="90" w:type="dxa"/>
              <w:end w:w="110" w:type="dxa"/>
            </w:tcMar>
          </w:tcPr>
          <w:p>
            <w:pPr>
              <w:spacing w:after="0"/>
              <w:jc w:val="left"/>
            </w:pPr>
            <w:r>
              <w:rPr>
                <w:rFonts w:ascii="Calibri" w:hAnsi="Calibri" w:eastAsia="Calibri"/>
                <w:color w:val="000000"/>
                <w:sz w:val="21"/>
              </w:rPr>
              <w:t>13</w:t>
            </w:r>
          </w:p>
        </w:tc>
        <w:tc>
          <w:tcPr>
            <w:tcW w:type="dxa" w:w="1512"/>
            <w:vAlign w:val="center"/>
            <w:tcMar>
              <w:top w:w="90" w:type="dxa"/>
              <w:start w:w="110" w:type="dxa"/>
              <w:bottom w:w="90" w:type="dxa"/>
              <w:end w:w="110" w:type="dxa"/>
            </w:tcMar>
          </w:tcPr>
          <w:p>
            <w:pPr>
              <w:spacing w:after="0"/>
              <w:jc w:val="left"/>
            </w:pPr>
            <w:r>
              <w:rPr>
                <w:rFonts w:ascii="Calibri" w:hAnsi="Calibri" w:eastAsia="Calibri"/>
                <w:color w:val="000000"/>
                <w:sz w:val="21"/>
              </w:rPr>
              <w:t>242.64</w:t>
            </w:r>
          </w:p>
        </w:tc>
      </w:tr>
      <w:tr>
        <w:trPr>
          <w:cantSplit/>
        </w:trPr>
        <w:tc>
          <w:tcPr>
            <w:tcW w:type="dxa" w:w="1512"/>
            <w:vAlign w:val="center"/>
            <w:tcMar>
              <w:top w:w="90" w:type="dxa"/>
              <w:start w:w="110" w:type="dxa"/>
              <w:bottom w:w="90" w:type="dxa"/>
              <w:end w:w="110" w:type="dxa"/>
            </w:tcMar>
          </w:tcPr>
          <w:p>
            <w:pPr>
              <w:spacing w:after="0"/>
              <w:jc w:val="left"/>
            </w:pPr>
            <w:r>
              <w:rPr>
                <w:rFonts w:ascii="Calibri" w:hAnsi="Calibri" w:eastAsia="Calibri"/>
                <w:color w:val="000000"/>
                <w:sz w:val="21"/>
              </w:rPr>
              <w:t>15</w:t>
            </w:r>
          </w:p>
        </w:tc>
        <w:tc>
          <w:tcPr>
            <w:tcW w:type="dxa" w:w="1512"/>
            <w:vAlign w:val="center"/>
            <w:tcMar>
              <w:top w:w="90" w:type="dxa"/>
              <w:start w:w="110" w:type="dxa"/>
              <w:bottom w:w="90" w:type="dxa"/>
              <w:end w:w="110" w:type="dxa"/>
            </w:tcMar>
          </w:tcPr>
          <w:p>
            <w:pPr>
              <w:spacing w:after="0"/>
              <w:jc w:val="left"/>
            </w:pPr>
            <w:r>
              <w:rPr>
                <w:rFonts w:ascii="Calibri" w:hAnsi="Calibri" w:eastAsia="Calibri"/>
                <w:color w:val="000000"/>
                <w:sz w:val="21"/>
              </w:rPr>
              <w:t>25</w:t>
            </w:r>
          </w:p>
        </w:tc>
        <w:tc>
          <w:tcPr>
            <w:tcW w:type="dxa" w:w="1512"/>
            <w:vAlign w:val="center"/>
            <w:tcMar>
              <w:top w:w="90" w:type="dxa"/>
              <w:start w:w="110" w:type="dxa"/>
              <w:bottom w:w="90" w:type="dxa"/>
              <w:end w:w="110" w:type="dxa"/>
            </w:tcMar>
          </w:tcPr>
          <w:p>
            <w:pPr>
              <w:spacing w:after="0"/>
              <w:jc w:val="left"/>
            </w:pPr>
            <w:r>
              <w:rPr>
                <w:rFonts w:ascii="Calibri" w:hAnsi="Calibri" w:eastAsia="Calibri"/>
                <w:color w:val="000000"/>
                <w:sz w:val="21"/>
              </w:rPr>
              <w:t>35</w:t>
            </w:r>
          </w:p>
        </w:tc>
        <w:tc>
          <w:tcPr>
            <w:tcW w:type="dxa" w:w="1512"/>
            <w:vAlign w:val="center"/>
            <w:tcMar>
              <w:top w:w="90" w:type="dxa"/>
              <w:start w:w="110" w:type="dxa"/>
              <w:bottom w:w="90" w:type="dxa"/>
              <w:end w:w="110" w:type="dxa"/>
            </w:tcMar>
          </w:tcPr>
          <w:p>
            <w:pPr>
              <w:spacing w:after="0"/>
              <w:jc w:val="left"/>
            </w:pPr>
            <w:r>
              <w:rPr>
                <w:rFonts w:ascii="Calibri" w:hAnsi="Calibri" w:eastAsia="Calibri"/>
                <w:color w:val="000000"/>
                <w:sz w:val="21"/>
              </w:rPr>
              <w:t>0.2422</w:t>
            </w:r>
          </w:p>
        </w:tc>
        <w:tc>
          <w:tcPr>
            <w:tcW w:type="dxa" w:w="1512"/>
            <w:vAlign w:val="center"/>
            <w:tcMar>
              <w:top w:w="90" w:type="dxa"/>
              <w:start w:w="110" w:type="dxa"/>
              <w:bottom w:w="90" w:type="dxa"/>
              <w:end w:w="110" w:type="dxa"/>
            </w:tcMar>
          </w:tcPr>
          <w:p>
            <w:pPr>
              <w:spacing w:after="0"/>
              <w:jc w:val="left"/>
            </w:pPr>
            <w:r>
              <w:rPr>
                <w:rFonts w:ascii="Calibri" w:hAnsi="Calibri" w:eastAsia="Calibri"/>
                <w:color w:val="000000"/>
                <w:sz w:val="21"/>
              </w:rPr>
              <w:t>12</w:t>
            </w:r>
          </w:p>
        </w:tc>
        <w:tc>
          <w:tcPr>
            <w:tcW w:type="dxa" w:w="1512"/>
            <w:vAlign w:val="center"/>
            <w:tcMar>
              <w:top w:w="90" w:type="dxa"/>
              <w:start w:w="110" w:type="dxa"/>
              <w:bottom w:w="90" w:type="dxa"/>
              <w:end w:w="110" w:type="dxa"/>
            </w:tcMar>
          </w:tcPr>
          <w:p>
            <w:pPr>
              <w:spacing w:after="0"/>
              <w:jc w:val="left"/>
            </w:pPr>
            <w:r>
              <w:rPr>
                <w:rFonts w:ascii="Calibri" w:hAnsi="Calibri" w:eastAsia="Calibri"/>
                <w:color w:val="000000"/>
                <w:sz w:val="21"/>
              </w:rPr>
              <w:t>252.36</w:t>
            </w:r>
          </w:p>
        </w:tc>
      </w:tr>
    </w:tbl>
    <w:p>
      <w:pPr>
        <w:spacing w:after="0"/>
      </w:pPr>
    </w:p>
    <w:p>
      <w:pPr>
        <w:widowControl/>
        <w:spacing w:after="120" w:line="283" w:lineRule="auto"/>
        <w:jc w:val="both"/>
      </w:pPr>
      <w:r>
        <w:rPr>
          <w:rFonts w:ascii="Calibri" w:hAnsi="Calibri" w:eastAsia="Calibri"/>
          <w:color w:val="000000"/>
          <w:sz w:val="25"/>
        </w:rPr>
        <w:t>Lưới chạy trên cùng tập ảnh để khảo sát độ nhạy, không có tập held-out. Không dùng nó tự động thay mặc định hay tuyên bố cấu hình “tối ưu”. Muốn chọn tham số cần chia validation/test độc lập trước khi hiệu chỉnh.</w:t>
      </w:r>
    </w:p>
    <w:p>
      <w:pPr>
        <w:keepLines/>
        <w:spacing w:before="80" w:after="60"/>
        <w:jc w:val="center"/>
      </w:pPr>
      <w:r>
        <w:drawing>
          <wp:inline xmlns:a="http://schemas.openxmlformats.org/drawingml/2006/main" xmlns:pic="http://schemas.openxmlformats.org/drawingml/2006/picture">
            <wp:extent cx="5112000" cy="1668084"/>
            <wp:docPr id="3" name="Picture 3"/>
            <wp:cNvGraphicFramePr>
              <a:graphicFrameLocks noChangeAspect="1"/>
            </wp:cNvGraphicFramePr>
            <a:graphic>
              <a:graphicData uri="http://schemas.openxmlformats.org/drawingml/2006/picture">
                <pic:pic>
                  <pic:nvPicPr>
                    <pic:cNvPr id="0" name="figure_3_parameter_grid_sensitivity.png"/>
                    <pic:cNvPicPr/>
                  </pic:nvPicPr>
                  <pic:blipFill>
                    <a:blip r:embed="rId13"/>
                    <a:stretch>
                      <a:fillRect/>
                    </a:stretch>
                  </pic:blipFill>
                  <pic:spPr>
                    <a:xfrm>
                      <a:off x="0" y="0"/>
                      <a:ext cx="5112000" cy="1668084"/>
                    </a:xfrm>
                    <a:prstGeom prst="rect"/>
                  </pic:spPr>
                </pic:pic>
              </a:graphicData>
            </a:graphic>
          </wp:inline>
        </w:drawing>
      </w:r>
    </w:p>
    <w:p>
      <w:pPr>
        <w:keepLines/>
        <w:spacing w:after="160"/>
        <w:jc w:val="center"/>
      </w:pPr>
      <w:r>
        <w:rPr>
          <w:rFonts w:ascii="Calibri" w:hAnsi="Calibri" w:eastAsia="Calibri"/>
          <w:i/>
          <w:color w:val="000000"/>
          <w:sz w:val="21"/>
        </w:rPr>
        <w:t>Hình 4.3. IoU toàn tập trên lưới chứa cả cấu hình mặc định.</w:t>
      </w:r>
    </w:p>
    <w:p>
      <w:pPr>
        <w:pStyle w:val="Heading1"/>
      </w:pPr>
      <w:r>
        <w:t>7. Phạm vi đo thời gian</w:t>
      </w:r>
    </w:p>
    <w:p>
      <w:pPr>
        <w:widowControl/>
        <w:spacing w:after="120" w:line="283" w:lineRule="auto"/>
        <w:jc w:val="both"/>
      </w:pPr>
      <w:r>
        <w:rPr>
          <w:rFonts w:ascii="Calibri" w:hAnsi="Calibri" w:eastAsia="Calibri"/>
          <w:color w:val="000000"/>
          <w:sz w:val="25"/>
        </w:rPr>
        <w:t>Runtime Hough trung bình: 3.374 ms/ảnh. Chỉ gồm ROI, P-Hough, consensus, WLS và tạo polygon; không gồm tiền xử lý, Canny hoặc đọc/ghi ảnh. Không quy đổi thành FPS của toàn pipeline.</w:t>
      </w:r>
    </w:p>
    <w:p>
      <w:pPr>
        <w:widowControl/>
        <w:spacing w:after="120" w:line="283" w:lineRule="auto"/>
        <w:jc w:val="both"/>
      </w:pPr>
      <w:r>
        <w:rPr>
          <w:rFonts w:ascii="Calibri" w:hAnsi="Calibri" w:eastAsia="Calibri"/>
          <w:color w:val="000000"/>
          <w:sz w:val="25"/>
        </w:rPr>
        <w:t>Benchmark riêng từng biến đổi: mỗi ảnh một lượt warmup cho mỗi phương pháp, sau đó median năm lượt trên cùng ROI; bảng là trung bình các median ảnh. Đếm đường Standard và đoạn P-Hough không phải phép so sánh độ chính xác tương đương.</w:t>
      </w:r>
    </w:p>
    <w:tbl>
      <w:tblPr>
        <w:tblStyle w:val="TableGrid"/>
        <w:tblW w:type="auto" w:w="0"/>
        <w:jc w:val="center"/>
        <w:tblLayout w:type="autofit"/>
        <w:tblLook w:firstColumn="1" w:firstRow="1" w:lastColumn="0" w:lastRow="0" w:noHBand="0" w:noVBand="1" w:val="04A0"/>
      </w:tblPr>
      <w:tblGrid>
        <w:gridCol w:w="3024"/>
        <w:gridCol w:w="3024"/>
        <w:gridCol w:w="3024"/>
      </w:tblGrid>
      <w:tr>
        <w:trPr>
          <w:cantSplit/>
          <w:tblHeader w:val="true"/>
        </w:trPr>
        <w:tc>
          <w:tcPr>
            <w:tcW w:type="dxa" w:w="3024"/>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Phương pháp</w:t>
            </w:r>
          </w:p>
        </w:tc>
        <w:tc>
          <w:tcPr>
            <w:tcW w:type="dxa" w:w="3024"/>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TB median mỗi ảnh (ms)</w:t>
            </w:r>
          </w:p>
        </w:tc>
        <w:tc>
          <w:tcPr>
            <w:tcW w:type="dxa" w:w="3024"/>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Số ảnh</w:t>
            </w:r>
          </w:p>
        </w:tc>
      </w:tr>
      <w:tr>
        <w:trPr>
          <w:cantSplit/>
        </w:trPr>
        <w:tc>
          <w:tcPr>
            <w:tcW w:type="dxa" w:w="3024"/>
            <w:vAlign w:val="center"/>
            <w:tcMar>
              <w:top w:w="90" w:type="dxa"/>
              <w:start w:w="110" w:type="dxa"/>
              <w:bottom w:w="90" w:type="dxa"/>
              <w:end w:w="110" w:type="dxa"/>
            </w:tcMar>
          </w:tcPr>
          <w:p>
            <w:pPr>
              <w:spacing w:after="0"/>
              <w:jc w:val="left"/>
            </w:pPr>
            <w:r>
              <w:rPr>
                <w:rFonts w:ascii="Calibri" w:hAnsi="Calibri" w:eastAsia="Calibri"/>
                <w:color w:val="000000"/>
                <w:sz w:val="21"/>
              </w:rPr>
              <w:t>Standard Hough</w:t>
            </w:r>
          </w:p>
        </w:tc>
        <w:tc>
          <w:tcPr>
            <w:tcW w:type="dxa" w:w="3024"/>
            <w:vAlign w:val="center"/>
            <w:tcMar>
              <w:top w:w="90" w:type="dxa"/>
              <w:start w:w="110" w:type="dxa"/>
              <w:bottom w:w="90" w:type="dxa"/>
              <w:end w:w="110" w:type="dxa"/>
            </w:tcMar>
          </w:tcPr>
          <w:p>
            <w:pPr>
              <w:spacing w:after="0"/>
              <w:jc w:val="left"/>
            </w:pPr>
            <w:r>
              <w:rPr>
                <w:rFonts w:ascii="Calibri" w:hAnsi="Calibri" w:eastAsia="Calibri"/>
                <w:color w:val="000000"/>
                <w:sz w:val="21"/>
              </w:rPr>
              <w:t>2.886</w:t>
            </w:r>
          </w:p>
        </w:tc>
        <w:tc>
          <w:tcPr>
            <w:tcW w:type="dxa" w:w="3024"/>
            <w:vAlign w:val="center"/>
            <w:tcMar>
              <w:top w:w="90" w:type="dxa"/>
              <w:start w:w="110" w:type="dxa"/>
              <w:bottom w:w="90" w:type="dxa"/>
              <w:end w:w="110" w:type="dxa"/>
            </w:tcMar>
          </w:tcPr>
          <w:p>
            <w:pPr>
              <w:spacing w:after="0"/>
              <w:jc w:val="left"/>
            </w:pPr>
            <w:r>
              <w:rPr>
                <w:rFonts w:ascii="Calibri" w:hAnsi="Calibri" w:eastAsia="Calibri"/>
                <w:color w:val="000000"/>
                <w:sz w:val="21"/>
              </w:rPr>
              <w:t>50</w:t>
            </w:r>
          </w:p>
        </w:tc>
      </w:tr>
      <w:tr>
        <w:trPr>
          <w:cantSplit/>
        </w:trPr>
        <w:tc>
          <w:tcPr>
            <w:tcW w:type="dxa" w:w="3024"/>
            <w:vAlign w:val="center"/>
            <w:tcMar>
              <w:top w:w="90" w:type="dxa"/>
              <w:start w:w="110" w:type="dxa"/>
              <w:bottom w:w="90" w:type="dxa"/>
              <w:end w:w="110" w:type="dxa"/>
            </w:tcMar>
          </w:tcPr>
          <w:p>
            <w:pPr>
              <w:spacing w:after="0"/>
              <w:jc w:val="left"/>
            </w:pPr>
            <w:r>
              <w:rPr>
                <w:rFonts w:ascii="Calibri" w:hAnsi="Calibri" w:eastAsia="Calibri"/>
                <w:color w:val="000000"/>
                <w:sz w:val="21"/>
              </w:rPr>
              <w:t>P-Hough</w:t>
            </w:r>
          </w:p>
        </w:tc>
        <w:tc>
          <w:tcPr>
            <w:tcW w:type="dxa" w:w="3024"/>
            <w:vAlign w:val="center"/>
            <w:tcMar>
              <w:top w:w="90" w:type="dxa"/>
              <w:start w:w="110" w:type="dxa"/>
              <w:bottom w:w="90" w:type="dxa"/>
              <w:end w:w="110" w:type="dxa"/>
            </w:tcMar>
          </w:tcPr>
          <w:p>
            <w:pPr>
              <w:spacing w:after="0"/>
              <w:jc w:val="left"/>
            </w:pPr>
            <w:r>
              <w:rPr>
                <w:rFonts w:ascii="Calibri" w:hAnsi="Calibri" w:eastAsia="Calibri"/>
                <w:color w:val="000000"/>
                <w:sz w:val="21"/>
              </w:rPr>
              <w:t>2.111</w:t>
            </w:r>
          </w:p>
        </w:tc>
        <w:tc>
          <w:tcPr>
            <w:tcW w:type="dxa" w:w="3024"/>
            <w:vAlign w:val="center"/>
            <w:tcMar>
              <w:top w:w="90" w:type="dxa"/>
              <w:start w:w="110" w:type="dxa"/>
              <w:bottom w:w="90" w:type="dxa"/>
              <w:end w:w="110" w:type="dxa"/>
            </w:tcMar>
          </w:tcPr>
          <w:p>
            <w:pPr>
              <w:spacing w:after="0"/>
              <w:jc w:val="left"/>
            </w:pPr>
            <w:r>
              <w:rPr>
                <w:rFonts w:ascii="Calibri" w:hAnsi="Calibri" w:eastAsia="Calibri"/>
                <w:color w:val="000000"/>
                <w:sz w:val="21"/>
              </w:rPr>
              <w:t>50</w:t>
            </w:r>
          </w:p>
        </w:tc>
      </w:tr>
    </w:tbl>
    <w:p>
      <w:pPr>
        <w:spacing w:after="0"/>
      </w:pPr>
    </w:p>
    <w:p>
      <w:pPr>
        <w:widowControl/>
        <w:spacing w:after="120" w:line="283" w:lineRule="auto"/>
        <w:jc w:val="both"/>
      </w:pPr>
      <w:r>
        <w:rPr>
          <w:rFonts w:ascii="Calibri" w:hAnsi="Calibri" w:eastAsia="Calibri"/>
          <w:color w:val="000000"/>
          <w:sz w:val="25"/>
        </w:rPr>
        <w:t>Môi trường đo: Python 3.14.3, OpenCV 4.13.0, NumPy 2.5.2; Windows-11-10.0.26200-SP0. Runtime phụ thuộc máy và tải hệ thống; không lấy tốc độ từ bài báo để gán cho triển khai này.</w:t>
      </w:r>
    </w:p>
    <w:p>
      <w:pPr>
        <w:pStyle w:val="Heading1"/>
      </w:pPr>
      <w:r>
        <w:t>8. Ca lỗi và giới hạn còn lại</w:t>
      </w:r>
    </w:p>
    <w:p>
      <w:pPr>
        <w:keepLines/>
        <w:spacing w:before="80" w:after="60"/>
        <w:jc w:val="center"/>
      </w:pPr>
      <w:r>
        <w:drawing>
          <wp:inline xmlns:a="http://schemas.openxmlformats.org/drawingml/2006/main" xmlns:pic="http://schemas.openxmlformats.org/drawingml/2006/picture">
            <wp:extent cx="5112000" cy="4260000"/>
            <wp:docPr id="4" name="Picture 4"/>
            <wp:cNvGraphicFramePr>
              <a:graphicFrameLocks noChangeAspect="1"/>
            </wp:cNvGraphicFramePr>
            <a:graphic>
              <a:graphicData uri="http://schemas.openxmlformats.org/drawingml/2006/picture">
                <pic:pic>
                  <pic:nvPicPr>
                    <pic:cNvPr id="0" name="figure_4_group_examples.png"/>
                    <pic:cNvPicPr/>
                  </pic:nvPicPr>
                  <pic:blipFill>
                    <a:blip r:embed="rId14"/>
                    <a:stretch>
                      <a:fillRect/>
                    </a:stretch>
                  </pic:blipFill>
                  <pic:spPr>
                    <a:xfrm>
                      <a:off x="0" y="0"/>
                      <a:ext cx="5112000" cy="4260000"/>
                    </a:xfrm>
                    <a:prstGeom prst="rect"/>
                  </pic:spPr>
                </pic:pic>
              </a:graphicData>
            </a:graphic>
          </wp:inline>
        </w:drawing>
      </w:r>
    </w:p>
    <w:p>
      <w:pPr>
        <w:keepLines/>
        <w:spacing w:after="160"/>
        <w:jc w:val="center"/>
      </w:pPr>
      <w:r>
        <w:rPr>
          <w:rFonts w:ascii="Calibri" w:hAnsi="Calibri" w:eastAsia="Calibri"/>
          <w:i/>
          <w:color w:val="000000"/>
          <w:sz w:val="21"/>
        </w:rPr>
        <w:t>Hình 4.4. Biên dự đoán và polygon; đường bao ground truth màu vàng.</w:t>
      </w:r>
    </w:p>
    <w:p>
      <w:pPr>
        <w:pStyle w:val="ListBullet"/>
        <w:widowControl/>
        <w:spacing w:after="60" w:line="269" w:lineRule="auto"/>
        <w:jc w:val="left"/>
      </w:pPr>
      <w:r>
        <w:rPr>
          <w:rFonts w:ascii="Calibri" w:hAnsi="Calibri" w:eastAsia="Calibri"/>
          <w:color w:val="000000"/>
          <w:sz w:val="25"/>
        </w:rPr>
        <w:t>Mô hình một đường thẳng mỗi bên không mô tả đầy đủ khúc cua; baseline có thể bỏ biên đổi dấu slope hoặc gần đứng.</w:t>
      </w:r>
    </w:p>
    <w:p>
      <w:pPr>
        <w:pStyle w:val="ListBullet"/>
        <w:widowControl/>
        <w:spacing w:after="60" w:line="269" w:lineRule="auto"/>
        <w:jc w:val="left"/>
      </w:pPr>
      <w:r>
        <w:rPr>
          <w:rFonts w:ascii="Calibri" w:hAnsi="Calibri" w:eastAsia="Calibri"/>
          <w:color w:val="000000"/>
          <w:sz w:val="25"/>
        </w:rPr>
        <w:t>ROI cố định có thể loại mép xa, đường lệch tâm hoặc đoạn cua ra ngoài hình thang.</w:t>
      </w:r>
    </w:p>
    <w:p>
      <w:pPr>
        <w:pStyle w:val="ListBullet"/>
        <w:widowControl/>
        <w:spacing w:after="60" w:line="269" w:lineRule="auto"/>
        <w:jc w:val="left"/>
      </w:pPr>
      <w:r>
        <w:rPr>
          <w:rFonts w:ascii="Calibri" w:hAnsi="Calibri" w:eastAsia="Calibri"/>
          <w:color w:val="000000"/>
          <w:sz w:val="25"/>
        </w:rPr>
        <w:t>Consensus chỉ loại các đoạn không nhất quán, không tự phân loại road/non-road. Vạch làn, xe đỗ, rào chắn và bóng chéo vẫn có thể tạo cụm sai.</w:t>
      </w:r>
    </w:p>
    <w:p>
      <w:pPr>
        <w:pStyle w:val="ListBullet"/>
        <w:widowControl/>
        <w:spacing w:after="60" w:line="269" w:lineRule="auto"/>
        <w:jc w:val="left"/>
      </w:pPr>
      <w:r>
        <w:rPr>
          <w:rFonts w:ascii="Calibri" w:hAnsi="Calibri" w:eastAsia="Calibri"/>
          <w:color w:val="000000"/>
          <w:sz w:val="25"/>
        </w:rPr>
        <w:t>Tiền xử lý trắng/vàng hiện có có thể xóa mép vật lý trước Canny; ngưỡng Canny cố định còn có thể bỏ mép tương phản thấp. Phần 4 chỉ ghi nhận giới hạn, không thay hoặc chỉnh lại hai module đó.</w:t>
      </w:r>
    </w:p>
    <w:p>
      <w:pPr>
        <w:pStyle w:val="ListBullet"/>
        <w:widowControl/>
        <w:spacing w:after="60" w:line="269" w:lineRule="auto"/>
        <w:jc w:val="left"/>
      </w:pPr>
      <w:r>
        <w:rPr>
          <w:rFonts w:ascii="Calibri" w:hAnsi="Calibri" w:eastAsia="Calibri"/>
          <w:color w:val="000000"/>
          <w:sz w:val="25"/>
        </w:rPr>
        <w:t>Mặt cắt ground truth chạm khung ảnh và các vật cản phản ánh quy ước mask có sẵn. Không thay nhãn để phù hợp đường dự đoán.</w:t>
      </w:r>
    </w:p>
    <w:p>
      <w:pPr>
        <w:pStyle w:val="ListBullet"/>
        <w:widowControl/>
        <w:spacing w:after="60" w:line="269" w:lineRule="auto"/>
        <w:jc w:val="left"/>
      </w:pPr>
      <w:r>
        <w:rPr>
          <w:rFonts w:ascii="Calibri" w:hAnsi="Calibri" w:eastAsia="Calibri"/>
          <w:color w:val="000000"/>
          <w:sz w:val="25"/>
        </w:rPr>
        <w:t>Cần tập validation/test độc lập và, nếu mở rộng phạm vi, mô hình phân đoạn theo chiều cao hoặc đường cong. Các kỹ thuật này không được giả định là đã có trong bản hiện tại.</w:t>
      </w:r>
    </w:p>
    <w:p>
      <w:pPr>
        <w:pStyle w:val="Heading1"/>
      </w:pPr>
      <w:r>
        <w:t>9. Tái lập và bàn giao</w:t>
      </w:r>
    </w:p>
    <w:p>
      <w:pPr>
        <w:keepLines/>
        <w:spacing w:before="60" w:after="140"/>
        <w:ind w:left="198" w:right="198"/>
        <w:jc w:val="left"/>
        <w:shd w:fill="F2F2F2"/>
      </w:pPr>
      <w:r>
        <w:rPr>
          <w:rFonts w:ascii="Consolas" w:hAnsi="Consolas" w:eastAsia="Consolas"/>
          <w:color w:val="000000"/>
          <w:sz w:val="19"/>
        </w:rPr>
        <w:t>python scripts/generate_hough_assets.py</w:t>
        <w:br/>
        <w:t>python scripts/build_hough_report.py</w:t>
        <w:br/>
        <w:t>python scripts/compile_latex_pdf.py</w:t>
        <w:br/>
        <w:t>python -m unittest discover -s tests -v</w:t>
      </w:r>
    </w:p>
    <w:p>
      <w:pPr>
        <w:widowControl/>
        <w:spacing w:after="120" w:line="283" w:lineRule="auto"/>
        <w:jc w:val="both"/>
      </w:pPr>
      <w:r>
        <w:rPr>
          <w:rFonts w:ascii="Calibri" w:hAnsi="Calibri" w:eastAsia="Calibri"/>
          <w:color w:val="000000"/>
          <w:sz w:val="25"/>
        </w:rPr>
        <w:t>Lệnh đầu chỉ đọc đầu ra Canny hiện có, đánh giá Hough trên toàn bộ ảnh và xuất hình/CSV trong outputs/hough. Không chạy lại tiền xử lý hoặc Canny. Hough_Colab.ipynb gọi cùng hough.py và evaluation.py; có thể tạo lại notebook Hough bằng scripts/build_hough_notebook.py. Hai notebook và các tài liệu của module trước được giữ nguyên.</w:t>
      </w:r>
    </w:p>
    <w:p>
      <w:pPr>
        <w:widowControl/>
        <w:spacing w:after="120" w:line="283" w:lineRule="auto"/>
        <w:jc w:val="both"/>
      </w:pPr>
      <w:r>
        <w:rPr>
          <w:rFonts w:ascii="Calibri" w:hAnsi="Calibri" w:eastAsia="Calibri"/>
          <w:color w:val="000000"/>
          <w:sz w:val="25"/>
        </w:rPr>
        <w:t>CSV và notebook chạy được trên Colab khi cài các thư viện NumPy, Pillow, OpenCV, pandas và matplotlib. Bước xuất PDF hiện dùng Microsoft Word trên Windows qua render_docx_with_word.ps1; không yêu cầu tải KaTeX/CDN. DOCX và PDF cùng đọc nguồn Markdown, không có bản HTML chứa số liệu độc lập.</w:t>
      </w:r>
    </w:p>
    <w:p>
      <w:pPr>
        <w:widowControl/>
        <w:spacing w:after="120" w:line="283" w:lineRule="auto"/>
        <w:jc w:val="both"/>
      </w:pPr>
      <w:r>
        <w:rPr>
          <w:rFonts w:ascii="Calibri" w:hAnsi="Calibri" w:eastAsia="Calibri"/>
          <w:color w:val="000000"/>
          <w:sz w:val="25"/>
        </w:rPr>
        <w:t>Giao diện: detect_road_boundaries(edges, config) trả HoughResult với left_line/right_line hữu hạn hoặc None; polygon (4,2) hợp lệ hoặc None; raw_lines; left_segments/right_segments là các ứng viên sau lọc slope, không phải toàn bộ đều là inlier của fit; roi_mask. evaluation.evaluate_road_result và summarize_records dùng chung cho batch và notebook.</w:t>
      </w:r>
    </w:p>
    <w:p>
      <w:pPr>
        <w:widowControl/>
        <w:spacing w:after="120" w:line="283" w:lineRule="auto"/>
        <w:jc w:val="both"/>
      </w:pPr>
      <w:r>
        <w:rPr>
          <w:rFonts w:ascii="Calibri" w:hAnsi="Calibri" w:eastAsia="Calibri"/>
          <w:color w:val="000000"/>
          <w:sz w:val="25"/>
        </w:rPr>
        <w:t>Các CSV hough_50_images_results, hough_group_statistics, hough_parameters_grid và hough_method_benchmark cùng run_metadata.json nằm trong outputs/hough. Metadata ghi đường dẫn đầu vào chỉ đọc và cấu hình tiền xử lý được bàn giao, không gán cho Hough trách nhiệm sinh các dữ liệu đó. Mã kiểm thử hồi quy bao phủ đảo hướng khi gộp đoạn, outlier khác vị trí, đa giác tự cắt, miền y chung, thiếu biên và mẫu số metric.</w:t>
      </w:r>
    </w:p>
    <w:p>
      <w:pPr>
        <w:pStyle w:val="Heading1"/>
      </w:pPr>
      <w:r>
        <w:t>Tài liệu tham khảo</w:t>
      </w:r>
    </w:p>
    <w:p>
      <w:pPr>
        <w:widowControl/>
        <w:spacing w:after="120" w:line="283" w:lineRule="auto"/>
        <w:jc w:val="both"/>
      </w:pPr>
      <w:r>
        <w:rPr>
          <w:rFonts w:ascii="Calibri" w:hAnsi="Calibri" w:eastAsia="Calibri"/>
          <w:color w:val="000000"/>
          <w:sz w:val="25"/>
        </w:rPr>
        <w:t>[1] Munajat et al. (2015), Road Detection System based on RGB Histogram Filterization and Boundary Classifier, ICACSIS, 195–200. Tham khảo mục tiêu road/non-road và giới hạn hình học; không tuyên bố đã tái hiện toàn bộ bộ phân loại/spline của bài.</w:t>
      </w:r>
    </w:p>
    <w:p>
      <w:pPr>
        <w:widowControl/>
        <w:spacing w:after="120" w:line="283" w:lineRule="auto"/>
        <w:jc w:val="both"/>
      </w:pPr>
      <w:r>
        <w:rPr>
          <w:rFonts w:ascii="Calibri" w:hAnsi="Calibri" w:eastAsia="Calibri"/>
          <w:color w:val="000000"/>
          <w:sz w:val="25"/>
        </w:rPr>
        <w:t>[2] Wang et al. (2020), A Canny operator road edge detection method based on color features, Journal of Physics: Conference Series 1629, 012018. Tham khảo chuỗi HSV/Canny/Hough; ngưỡng HSV và Hough trong dự án là thực nghiệm.</w:t>
      </w:r>
    </w:p>
    <w:p>
      <w:pPr>
        <w:widowControl/>
        <w:spacing w:after="120" w:line="283" w:lineRule="auto"/>
        <w:jc w:val="both"/>
      </w:pPr>
      <w:r>
        <w:rPr>
          <w:rFonts w:ascii="Calibri" w:hAnsi="Calibri" w:eastAsia="Calibri"/>
          <w:color w:val="000000"/>
          <w:sz w:val="25"/>
        </w:rPr>
        <w:t>[3] Belhadri et al. (2026), Lane Boundary Detection in Dynamic Environments, RRST Électrotechn. et Énerg. 71, 299–304. Bài nghiên cứu lane boundary; không dùng nhãn road-area để chứng minh cải thiện lane boundary.</w:t>
      </w:r>
    </w:p>
    <w:sectPr w:rsidR="00FC693F" w:rsidRPr="0006063C" w:rsidSect="00034616">
      <w:headerReference w:type="default" r:id="rId9"/>
      <w:footerReference w:type="default" r:id="rId10"/>
      <w:pgSz w:w="11906" w:h="16838"/>
      <w:pgMar w:top="1247"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95959"/>
        <w:sz w:val="18"/>
      </w:rPr>
      <w:t xml:space="preserve">Trang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color w:val="1F4E79"/>
        <w:sz w:val="18"/>
      </w:rPr>
      <w:t>PHẦN 4 · BIẾN ĐỔI HOUGH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000000"/>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eastAsia="Calibri"/>
      <w:b/>
      <w:bCs/>
      <w:color w:val="000000"/>
      <w:sz w:val="31"/>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eastAsia="Calibr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eastAsia="Calibr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Phần 4 - Biến đổi Hough</dc:title>
  <dc:subject>Biến đổi Hough và hậu xử lý phát hiện hai biên đường</dc:subject>
  <dc:creator/>
  <cp:keywords>Hough transform, Probabilistic Hough, slope filtering, boundary fitting, road boundary</cp:keywords>
  <dc:description>generated by python-docx</dc:description>
  <cp:lastModifiedBy/>
  <cp:revision>1</cp:revision>
  <dcterms:created xsi:type="dcterms:W3CDTF">2013-12-23T23:15:00Z</dcterms:created>
  <dcterms:modified xsi:type="dcterms:W3CDTF">2013-12-23T23:15:00Z</dcterms:modified>
  <cp:category/>
</cp:coreProperties>
</file>