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Calibri" w:hAnsi="Calibri" w:eastAsia="Calibri"/>
          <w:b/>
          <w:color w:val="000000"/>
          <w:sz w:val="40"/>
        </w:rPr>
        <w:t>Phần Hough trong phát hiện biên đường</w:t>
      </w:r>
    </w:p>
    <w:p>
      <w:pPr>
        <w:spacing w:after="200"/>
        <w:jc w:val="center"/>
      </w:pPr>
      <w:r>
        <w:rPr>
          <w:rFonts w:ascii="Calibri" w:hAnsi="Calibri" w:eastAsia="Calibri"/>
          <w:i/>
          <w:color w:val="595959"/>
          <w:sz w:val="25"/>
        </w:rPr>
        <w:t>Bản tóm tắt đồng bộ với mã và số liệu hiện tại; xem báo cáo phần 4 để biết đầy đủ quy ước.</w:t>
      </w:r>
    </w:p>
    <w:p>
      <w:pPr>
        <w:spacing w:after="320"/>
        <w:jc w:val="center"/>
      </w:pPr>
      <w:r>
        <w:rPr>
          <w:rFonts w:ascii="Calibri" w:hAnsi="Calibri" w:eastAsia="Calibri"/>
          <w:b/>
          <w:color w:val="1F4E79"/>
          <w:sz w:val="23"/>
        </w:rPr>
        <w:t>Tài liệu tóm tắt lý thuyết và thực nghiệm · Module Hough</w:t>
      </w:r>
    </w:p>
    <w:p>
      <w:pPr>
        <w:pStyle w:val="Heading1"/>
      </w:pPr>
      <w:r>
        <w:t>1. Mục tiêu và đầu vào</w:t>
      </w:r>
    </w:p>
    <w:p>
      <w:pPr>
        <w:widowControl/>
        <w:spacing w:after="120" w:line="283" w:lineRule="auto"/>
        <w:jc w:val="both"/>
      </w:pPr>
      <w:r>
        <w:rPr>
          <w:rFonts w:ascii="Calibri" w:hAnsi="Calibri" w:eastAsia="Calibri"/>
          <w:color w:val="000000"/>
          <w:sz w:val="25"/>
        </w:rPr>
        <w:t>Road boundary là mép vật lý toàn bộ lòng đường theo phần 1, không phải vạch chia làn. Phần 4 nhận nguyên ảnh cạnh Canny NumPy 0/255 từ outputs/canny/edges. Giữ nguyên tiền xử lý HSV trắng/vàng, Canny, hai notebook và dữ liệu bàn giao của ba module trước; không chạy lại hoặc thay nhánh đầu vào.</w:t>
      </w:r>
    </w:p>
    <w:p>
      <w:pPr>
        <w:pStyle w:val="Heading1"/>
      </w:pPr>
      <w:r>
        <w:t>2. Thuật toán đã triển khai</w:t>
      </w:r>
    </w:p>
    <w:p>
      <w:pPr>
        <w:widowControl/>
        <w:spacing w:after="120" w:line="283" w:lineRule="auto"/>
        <w:jc w:val="both"/>
      </w:pPr>
      <w:r>
        <w:rPr>
          <w:rFonts w:ascii="Calibri" w:hAnsi="Calibri" w:eastAsia="Calibri"/>
          <w:color w:val="000000"/>
          <w:sz w:val="25"/>
        </w:rPr>
        <w:t>ROI hình thang cố định theo tỷ lệ → P-Hough → lọc slope/vị trí → chọn cụm có hai đầu mút gần cùng mô hình → WLS x(y) theo chiều dài đoạn → kiểm tra hướng → cắt khung ảnh → tạo polygon trên miền y chung, dưới giao điểm. Không còn miền hợp lệ thì polygon=None. Không dùng ground truth chọn biên.</w:t>
      </w:r>
    </w:p>
    <w:p>
      <w:pPr>
        <w:widowControl/>
        <w:spacing w:after="120" w:line="283" w:lineRule="auto"/>
        <w:jc w:val="both"/>
      </w:pPr>
      <w:r>
        <w:rPr>
          <w:rFonts w:ascii="Calibri" w:hAnsi="Calibri" w:eastAsia="Calibri"/>
          <w:color w:val="000000"/>
          <w:sz w:val="25"/>
        </w:rPr>
        <w:t>Cấu hình khởi điểm: threshold=25, minLineLength=25, maxLineGap=25; dung sai consensus=0,02W. ROI top_y=0,48H, bottom_y=0,98H, top_width=0,35W, bottom_width=0,98W. Đây không phải ROI thích ứng hoặc bộ tham số tối ưu đã được chứng minh.</w:t>
      </w:r>
    </w:p>
    <w:p>
      <w:pPr>
        <w:pStyle w:val="Heading1"/>
      </w:pPr>
      <w:r>
        <w:t>3. Đọc kết quả đúng cách</w:t>
      </w:r>
    </w:p>
    <w:p>
      <w:pPr>
        <w:widowControl/>
        <w:spacing w:after="120" w:line="283" w:lineRule="auto"/>
        <w:jc w:val="both"/>
      </w:pPr>
      <w:r>
        <w:rPr>
          <w:rFonts w:ascii="Calibri" w:hAnsi="Calibri" w:eastAsia="Calibri"/>
          <w:color w:val="000000"/>
          <w:sz w:val="25"/>
        </w:rPr>
        <w:t>IoU chính trên toàn ảnh/toàn tập, thất bại là mask rỗng. MAE cần cả hai biên tại đủ 60%,75%,90% H và luôn ghi N đo được. SR15 là MAE&lt;15px trên toàn bộ ảnh. Có đầu ra không đồng nghĩa biên đúng.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cantSplit/>
          <w:tblHeader w:val="true"/>
        </w:trPr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1"/>
              </w:rPr>
              <w:t>Nhóm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1"/>
              </w:rPr>
              <w:t>N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1"/>
              </w:rPr>
              <w:t>Có polygon (%)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1"/>
              </w:rPr>
              <w:t>IoU toàn tập ± σ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1"/>
              </w:rPr>
              <w:t>N đo MAE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1"/>
              </w:rPr>
              <w:t>MAE ± σ (px)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00000"/>
                <w:sz w:val="21"/>
              </w:rPr>
              <w:t>SR15 (%)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color w:val="000000"/>
                <w:sz w:val="21"/>
              </w:rPr>
              <w:t>normal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color w:val="000000"/>
                <w:sz w:val="21"/>
              </w:rPr>
              <w:t>18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color w:val="000000"/>
                <w:sz w:val="21"/>
              </w:rPr>
              <w:t>50.0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color w:val="000000"/>
                <w:sz w:val="21"/>
              </w:rPr>
              <w:t>0.1721 ± 0.1931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color w:val="000000"/>
                <w:sz w:val="21"/>
              </w:rPr>
              <w:t>1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color w:val="000000"/>
                <w:sz w:val="21"/>
              </w:rPr>
              <w:t>219.13 ± 0.00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color w:val="000000"/>
                <w:sz w:val="21"/>
              </w:rPr>
              <w:t>0.0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color w:val="000000"/>
                <w:sz w:val="21"/>
              </w:rPr>
              <w:t>curved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color w:val="000000"/>
                <w:sz w:val="21"/>
              </w:rPr>
              <w:t>12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color w:val="000000"/>
                <w:sz w:val="21"/>
              </w:rPr>
              <w:t>50.0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color w:val="000000"/>
                <w:sz w:val="21"/>
              </w:rPr>
              <w:t>0.1919 ± 0.1998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color w:val="000000"/>
                <w:sz w:val="21"/>
              </w:rPr>
              <w:t>3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color w:val="000000"/>
                <w:sz w:val="21"/>
              </w:rPr>
              <w:t>189.61 ± 23.89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color w:val="000000"/>
                <w:sz w:val="21"/>
              </w:rPr>
              <w:t>0.0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color w:val="000000"/>
                <w:sz w:val="21"/>
              </w:rPr>
              <w:t>adverse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color w:val="000000"/>
                <w:sz w:val="21"/>
              </w:rPr>
              <w:t>20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color w:val="000000"/>
                <w:sz w:val="21"/>
              </w:rPr>
              <w:t>60.0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color w:val="000000"/>
                <w:sz w:val="21"/>
              </w:rPr>
              <w:t>0.1656 ± 0.1680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color w:val="000000"/>
                <w:sz w:val="21"/>
              </w:rPr>
              <w:t>6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color w:val="000000"/>
                <w:sz w:val="21"/>
              </w:rPr>
              <w:t>322.67 ± 75.95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color w:val="000000"/>
                <w:sz w:val="21"/>
              </w:rPr>
              <w:t>0.0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color w:val="000000"/>
                <w:sz w:val="21"/>
              </w:rPr>
              <w:t>all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color w:val="000000"/>
                <w:sz w:val="21"/>
              </w:rPr>
              <w:t>50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color w:val="000000"/>
                <w:sz w:val="21"/>
              </w:rPr>
              <w:t>54.0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color w:val="000000"/>
                <w:sz w:val="21"/>
              </w:rPr>
              <w:t>0.1743 ± 0.1855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color w:val="000000"/>
                <w:sz w:val="21"/>
              </w:rPr>
              <w:t>10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color w:val="000000"/>
                <w:sz w:val="21"/>
              </w:rPr>
              <w:t>272.40 ± 86.54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color w:val="000000"/>
                <w:sz w:val="21"/>
              </w:rPr>
              <w:t>0.0</w:t>
            </w:r>
          </w:p>
        </w:tc>
      </w:tr>
    </w:tbl>
    <w:p>
      <w:pPr>
        <w:spacing w:after="0"/>
      </w:pPr>
    </w:p>
    <w:p>
      <w:pPr>
        <w:pStyle w:val="Heading1"/>
      </w:pPr>
      <w:r>
        <w:t>4. Giới hạn và phạm vi sửa</w:t>
      </w:r>
    </w:p>
    <w:p>
      <w:pPr>
        <w:widowControl/>
        <w:spacing w:after="120" w:line="283" w:lineRule="auto"/>
        <w:jc w:val="both"/>
      </w:pPr>
      <w:r>
        <w:rPr>
          <w:rFonts w:ascii="Calibri" w:hAnsi="Calibri" w:eastAsia="Calibri"/>
          <w:color w:val="000000"/>
          <w:sz w:val="25"/>
        </w:rPr>
        <w:t>Tiền xử lý trắng/vàng có thể loại mất mép vật lý không mang màu vạch làn. Hough không thể khôi phục cạnh đã xóa; đây là giới hạn cần ghi rõ, không tự sửa module trước trong phần 4.</w:t>
      </w:r>
    </w:p>
    <w:p>
      <w:pPr>
        <w:widowControl/>
        <w:spacing w:after="120" w:line="283" w:lineRule="auto"/>
        <w:jc w:val="both"/>
      </w:pPr>
      <w:r>
        <w:rPr>
          <w:rFonts w:ascii="Calibri" w:hAnsi="Calibri" w:eastAsia="Calibri"/>
          <w:color w:val="000000"/>
          <w:sz w:val="25"/>
        </w:rPr>
        <w:t>Lưới 27 tổ hợp chứa mặc định, dùng cùng ảnh Canny để khảo sát độ nhạy Hough. Chưa có held-out để kết luận tối ưu/tổng quát hóa. Hough đường thẳng và quy tắc dấu slope vẫn hạn chế ở đường cong; cụm nhất quán vẫn có thể là vạch làn hoặc vật thể sai. Sửa hình học không đồng nghĩa giải quyết ngữ nghĩa road boundary.</w:t>
      </w:r>
    </w:p>
    <w:p>
      <w:pPr>
        <w:pStyle w:val="Heading1"/>
      </w:pPr>
      <w:r>
        <w:t>5. Chạy lại</w:t>
      </w:r>
    </w:p>
    <w:p>
      <w:pPr>
        <w:keepLines/>
        <w:spacing w:before="60" w:after="140"/>
        <w:ind w:left="198" w:right="198"/>
        <w:jc w:val="left"/>
        <w:shd w:fill="F2F2F2"/>
      </w:pPr>
      <w:r>
        <w:rPr>
          <w:rFonts w:ascii="Consolas" w:hAnsi="Consolas" w:eastAsia="Consolas"/>
          <w:color w:val="000000"/>
          <w:sz w:val="19"/>
        </w:rPr>
        <w:t>python scripts/generate_hough_assets.py</w:t>
        <w:br/>
        <w:t>python scripts/build_hough_report.py</w:t>
        <w:br/>
        <w:t>python scripts/compile_latex_pdf.py</w:t>
      </w:r>
    </w:p>
    <w:p>
      <w:pPr>
        <w:widowControl/>
        <w:spacing w:after="120" w:line="283" w:lineRule="auto"/>
        <w:jc w:val="both"/>
      </w:pPr>
      <w:r>
        <w:rPr>
          <w:rFonts w:ascii="Calibri" w:hAnsi="Calibri" w:eastAsia="Calibri"/>
          <w:color w:val="000000"/>
          <w:sz w:val="25"/>
        </w:rPr>
        <w:t>Runtime Hough không gồm Canny/tiền xử lý/I/O; không gọi FPS của riêng bước này là tốc độ toàn pipeline. Báo cáo đầy đủ có benchmark warmup/median trên cùng ROI và thông tin môi trường.</w:t>
      </w:r>
    </w:p>
    <w:p>
      <w:pPr>
        <w:pStyle w:val="Heading1"/>
      </w:pPr>
      <w:r>
        <w:t>6. Sáu slide gợi ý</w:t>
      </w:r>
    </w:p>
    <w:p>
      <w:pPr>
        <w:pStyle w:val="ListNumber"/>
        <w:widowControl/>
        <w:spacing w:after="60" w:line="269" w:lineRule="auto"/>
        <w:jc w:val="left"/>
      </w:pPr>
      <w:r>
        <w:rPr>
          <w:rFonts w:ascii="Calibri" w:hAnsi="Calibri" w:eastAsia="Calibri"/>
          <w:color w:val="000000"/>
          <w:sz w:val="25"/>
        </w:rPr>
        <w:t>Road boundary khác lane boundary; ground truth và giao diện ba phần trước.</w:t>
      </w:r>
    </w:p>
    <w:p>
      <w:pPr>
        <w:pStyle w:val="ListNumber"/>
        <w:widowControl/>
        <w:spacing w:after="60" w:line="269" w:lineRule="auto"/>
        <w:jc w:val="left"/>
      </w:pPr>
      <w:r>
        <w:rPr>
          <w:rFonts w:ascii="Calibri" w:hAnsi="Calibri" w:eastAsia="Calibri"/>
          <w:color w:val="000000"/>
          <w:sz w:val="25"/>
        </w:rPr>
        <w:t>ROI cố định, Standard Hough và P-Hough; lý do chọn đầu ra đoạn hữu hạn.</w:t>
      </w:r>
    </w:p>
    <w:p>
      <w:pPr>
        <w:pStyle w:val="ListNumber"/>
        <w:widowControl/>
        <w:spacing w:after="60" w:line="269" w:lineRule="auto"/>
        <w:jc w:val="left"/>
      </w:pPr>
      <w:r>
        <w:rPr>
          <w:rFonts w:ascii="Calibri" w:hAnsi="Calibri" w:eastAsia="Calibri"/>
          <w:color w:val="000000"/>
          <w:sz w:val="25"/>
        </w:rPr>
        <w:t>Vì sao không gộp mọi đoạn cùng dấu; consensus trước WLS.</w:t>
      </w:r>
    </w:p>
    <w:p>
      <w:pPr>
        <w:pStyle w:val="ListNumber"/>
        <w:widowControl/>
        <w:spacing w:after="60" w:line="269" w:lineRule="auto"/>
        <w:jc w:val="left"/>
      </w:pPr>
      <w:r>
        <w:rPr>
          <w:rFonts w:ascii="Calibri" w:hAnsi="Calibri" w:eastAsia="Calibri"/>
          <w:color w:val="000000"/>
          <w:sz w:val="25"/>
        </w:rPr>
        <w:t>Kiểm tra hướng, cắt khung ảnh và loại polygon tự cắt.</w:t>
      </w:r>
    </w:p>
    <w:p>
      <w:pPr>
        <w:pStyle w:val="ListNumber"/>
        <w:widowControl/>
        <w:spacing w:after="60" w:line="269" w:lineRule="auto"/>
        <w:jc w:val="left"/>
      </w:pPr>
      <w:r>
        <w:rPr>
          <w:rFonts w:ascii="Calibri" w:hAnsi="Calibri" w:eastAsia="Calibri"/>
          <w:color w:val="000000"/>
          <w:sz w:val="25"/>
        </w:rPr>
        <w:t>IoU toàn tập, coverage, N đo MAE và SR15 trên nguyên đầu ra Canny; không gọi availability là accuracy.</w:t>
      </w:r>
    </w:p>
    <w:p>
      <w:pPr>
        <w:pStyle w:val="ListNumber"/>
        <w:widowControl/>
        <w:spacing w:after="60" w:line="269" w:lineRule="auto"/>
        <w:jc w:val="left"/>
      </w:pPr>
      <w:r>
        <w:rPr>
          <w:rFonts w:ascii="Calibri" w:hAnsi="Calibri" w:eastAsia="Calibri"/>
          <w:color w:val="000000"/>
          <w:sz w:val="25"/>
        </w:rPr>
        <w:t>Ca lỗi đường cong/vạch làn/thiếu tương phản và giới hạn tập dữ liệu nhỏ.</w:t>
      </w:r>
    </w:p>
    <w:p>
      <w:pPr>
        <w:widowControl/>
        <w:spacing w:after="120" w:line="283" w:lineRule="auto"/>
        <w:jc w:val="both"/>
      </w:pPr>
      <w:r>
        <w:rPr>
          <w:rFonts w:ascii="Calibri" w:hAnsi="Calibri" w:eastAsia="Calibri"/>
          <w:color w:val="000000"/>
          <w:sz w:val="25"/>
        </w:rPr>
        <w:t>Nguồn: ba bài Munajat 2015, Wang 2020, Belhadri 2026 trong Article; phân biệt rõ bài lane của Belhadri với mục tiêu road của dự án.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417" w:bottom="1134" w:left="141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color w:val="595959"/>
        <w:sz w:val="18"/>
      </w:rPr>
      <w:t xml:space="preserve">Trang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 w:eastAsia="Calibri"/>
        <w:b/>
        <w:color w:val="1F4E79"/>
        <w:sz w:val="18"/>
      </w:rPr>
      <w:t>TÓM TẮT · PHẦN 4 HOUGH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color w:val="000000"/>
      <w:sz w:val="2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Phần Hough trong phát hiện biên đường</dc:title>
  <dc:subject>Tài liệu tóm tắt cho người phụ trách Hough</dc:subject>
  <dc:creator>Thế</dc:creator>
  <cp:keywords>HSV, lane boundary, color filtering, Gaussian, preprocessing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