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4"/>
          <w:szCs w:val="34"/>
        </w:rPr>
        <w:t xml:space="preserve">BẢNG ÁNH XẠ SEQUENCE DIAGRAM – USE CASE</w:t>
      </w:r>
    </w:p>
    <w:p>
      <w:pPr>
        <w:spacing w:after="80"/>
        <w:jc w:val="center"/>
      </w:pPr>
      <w:r>
        <w:rPr>
          <w:i/>
          <w:iCs/>
          <w:sz w:val="26"/>
          <w:szCs w:val="26"/>
        </w:rPr>
        <w:t xml:space="preserve">Hệ thống Quản lý Chấm công và Tiền lương</w:t>
      </w:r>
    </w:p>
    <w:p>
      <w:pPr>
        <w:spacing w:after="80"/>
        <w:jc w:val="center"/>
      </w:pPr>
      <w:r>
        <w:rPr>
          <w:i/>
          <w:iCs/>
          <w:sz w:val="26"/>
          <w:szCs w:val="26"/>
        </w:rPr>
        <w:t xml:space="preserve">Phiên bản 2.0 – 15 sequence diagram, phủ 49/49 chức năng BFD</w:t>
      </w:r>
    </w:p>
    <w:p>
      <w:pPr>
        <w:spacing w:after="120" w:before="0" w:line="300"/>
        <w:jc w:val="both"/>
      </w:pPr>
      <w:r>
        <w:t xml:space="preserve">Bảng ánh xạ cho biết mỗi sequence diagram bao phủ use case (chức năng BFD) nào, do tác nhân nào thực hiện và tương ứng với activity diagram nào. Tác nhân được đối chiếu trực tiếp với lifeline trên từng sơ đồ trong diagrams/sequence/. Mã nguồn Mermaid của SQ-14, SQ-15 nằm tại diagrams/sequence/src/.</w:t>
      </w:r>
    </w:p>
    <w:p>
      <w:pPr>
        <w:pStyle w:val="Heading1"/>
        <w:keepNext/>
      </w:pPr>
      <w:r>
        <w:t xml:space="preserve">1. Bảng ánh xạ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1700"/>
        <w:gridCol w:w="1300"/>
        <w:gridCol w:w="1571"/>
      </w:tblGrid>
      <w:tr>
        <w:trPr>
          <w:cantSplit/>
          <w:tblHeader/>
        </w:trPr>
        <w:tc>
          <w:tcPr>
            <w:tcW w:type="dxa" w:w="1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1"/>
                <w:szCs w:val="21"/>
              </w:rPr>
              <w:t xml:space="preserve">Biểu đồ</w:t>
            </w:r>
          </w:p>
        </w:tc>
        <w:tc>
          <w:tcPr>
            <w:tcW w:type="dxa" w:w="32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1"/>
                <w:szCs w:val="21"/>
              </w:rPr>
              <w:t xml:space="preserve">Nội dung</w:t>
            </w:r>
          </w:p>
        </w:tc>
        <w:tc>
          <w:tcPr>
            <w:tcW w:type="dxa" w:w="1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1"/>
                <w:szCs w:val="21"/>
              </w:rPr>
              <w:t xml:space="preserve">Use case bao phủ</w:t>
            </w:r>
          </w:p>
        </w:tc>
        <w:tc>
          <w:tcPr>
            <w:tcW w:type="dxa" w:w="13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1"/>
                <w:szCs w:val="21"/>
              </w:rPr>
              <w:t xml:space="preserve">Tác nhân</w:t>
            </w:r>
          </w:p>
        </w:tc>
        <w:tc>
          <w:tcPr>
            <w:tcW w:type="dxa" w:w="157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1"/>
                <w:szCs w:val="21"/>
              </w:rPr>
              <w:t xml:space="preserve">AD tương ứng</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SQ-01</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Xếp ca, duyệt lịch ca, đổi ca</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3.1 – 3.4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TT, QĐ</w:t>
            </w:r>
          </w:p>
        </w:tc>
        <w:tc>
          <w:tcPr>
            <w:tcW w:type="dxa" w:w="15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AD-03</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SQ-02</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Tiếp nhận dữ liệu chấm công, ghép cặp vào/ra</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4.1, 4.2</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AD, Hệ thống</w:t>
            </w:r>
          </w:p>
        </w:tc>
        <w:tc>
          <w:tcPr>
            <w:tcW w:type="dxa" w:w="15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AD-04</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SQ-03</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Xử lý ngoại lệ, xác nhận công, chốt bảng công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4.3 – 4.5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TT, QĐ, KT</w:t>
            </w:r>
          </w:p>
        </w:tc>
        <w:tc>
          <w:tcPr>
            <w:tcW w:type="dxa" w:w="15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AD-04</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SQ-04</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Đề xuất, duyệt, kiểm soát trần, quy đổi OT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5.1 – 5.5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TT, QĐ, KT</w:t>
            </w:r>
          </w:p>
        </w:tc>
        <w:tc>
          <w:tcPr>
            <w:tcW w:type="dxa" w:w="15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AD-05</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SQ-05</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Ghi nhận và duyệt đơn nghỉ, theo dõi vắng mặt, ốm đau</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6.1 – 6.5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TT, QĐ, KT</w:t>
            </w:r>
          </w:p>
        </w:tc>
        <w:tc>
          <w:tcPr>
            <w:tcW w:type="dxa" w:w="15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AD-06</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SQ-06</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Tính lương, duyệt, khóa kỳ, phiếu lương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7.1 – 7.3, 7.5, 7.6</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KT</w:t>
            </w:r>
          </w:p>
        </w:tc>
        <w:tc>
          <w:tcPr>
            <w:tcW w:type="dxa" w:w="15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AD-07</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SQ-07</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Truy lĩnh, truy thu hồi tố sau khóa kỳ</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2.3, 7.4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KT</w:t>
            </w:r>
          </w:p>
        </w:tc>
        <w:tc>
          <w:tcPr>
            <w:tcW w:type="dxa" w:w="15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AD-07 (AD-02)</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SQ-08</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BH, thuế khấu trừ, quyết toán năm</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8.1 – 8.5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KT</w:t>
            </w:r>
          </w:p>
        </w:tc>
        <w:tc>
          <w:tcPr>
            <w:tcW w:type="dxa" w:w="15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AD-08</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SQ-09</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Chấm dứt hợp đồng (liên phân hệ)</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2.5, 9.3, 6.2, 8.3</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KT</w:t>
            </w:r>
          </w:p>
        </w:tc>
        <w:tc>
          <w:tcPr>
            <w:tcW w:type="dxa" w:w="15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AD-02</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SQ-10</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Thêm tham số pháp lý theo hiệu lực</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1.3, 1.6</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AD</w:t>
            </w:r>
          </w:p>
        </w:tc>
        <w:tc>
          <w:tcPr>
            <w:tcW w:type="dxa" w:w="15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AD-01</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SQ-11</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Mở, khóa kỳ công và kỳ lương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1.5</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AD, KT</w:t>
            </w:r>
          </w:p>
        </w:tc>
        <w:tc>
          <w:tcPr>
            <w:tcW w:type="dxa" w:w="15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AD-01 (khóa: AD-04, AD-07)</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SQ-12</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Cấp phát phúc lợi</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9.1, 9.2, 9.4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KT</w:t>
            </w:r>
          </w:p>
        </w:tc>
        <w:tc>
          <w:tcPr>
            <w:tcW w:type="dxa" w:w="15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AD-09</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SQ-13</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Báo cáo có phân quyền theo đơn vị</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10.1 – 10.4, 1.1</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TT, QĐ, KT</w:t>
            </w:r>
          </w:p>
        </w:tc>
        <w:tc>
          <w:tcPr>
            <w:tcW w:type="dxa" w:w="15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AD-10</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b/>
                <w:bCs/>
                <w:sz w:val="21"/>
                <w:szCs w:val="21"/>
              </w:rPr>
              <w:t xml:space="preserve">SQ-14 (mới)</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Quản lý hồ sơ nhân viên, hợp đồng, phụ lục, cảnh báo hết hạn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2.1, 2.2, 2.4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KT</w:t>
            </w:r>
          </w:p>
        </w:tc>
        <w:tc>
          <w:tcPr>
            <w:tcW w:type="dxa" w:w="15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AD-02</w:t>
            </w:r>
          </w:p>
        </w:tc>
      </w:tr>
      <w:tr>
        <w:trPr>
          <w:cantSplit w:val="off"/>
        </w:trPr>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b/>
                <w:bCs/>
                <w:sz w:val="21"/>
                <w:szCs w:val="21"/>
              </w:rPr>
              <w:t xml:space="preserve">SQ-15 (mới)</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Thiết lập cơ cấu tổ chức, tài khoản, chính sách theo cơ sở</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1.1, 1.2, 1.4</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AD</w:t>
            </w:r>
          </w:p>
        </w:tc>
        <w:tc>
          <w:tcPr>
            <w:tcW w:type="dxa" w:w="15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1"/>
                <w:szCs w:val="21"/>
              </w:rPr>
              <w:t xml:space="preserve">AD-01</w:t>
            </w:r>
          </w:p>
        </w:tc>
      </w:tr>
    </w:tbl>
    <w:p>
      <w:pPr>
        <w:spacing w:after="120" w:before="120" w:line="300"/>
        <w:jc w:val="both"/>
      </w:pPr>
      <w:r>
        <w:t xml:space="preserve">Ký hiệu tác nhân: TT – Tổ trưởng; QĐ – Quản đốc; KT – Kế toán; AD – Admin. “Hệ thống” là tác nhân tự động ở các chức năng 4.2 và 5.4.</w:t>
      </w:r>
    </w:p>
    <w:p>
      <w:pPr>
        <w:pStyle w:val="Heading1"/>
        <w:keepNext/>
      </w:pPr>
      <w:r>
        <w:t xml:space="preserve">2. Độ phủ chức năng BFD</w:t>
      </w:r>
    </w:p>
    <w:p>
      <w:pPr>
        <w:spacing w:after="120" w:before="0" w:line="300"/>
        <w:jc w:val="both"/>
      </w:pPr>
      <w:r>
        <w:t xml:space="preserve">Bộ 13 sequence diagram ban đầu phủ 44/49 chức năng; năm chức năng chưa có sequence là 1.2, 1.4, 2.1, 2.2, 2.4. Sau khi bổ sung SQ-14 và SQ-15, độ phủ đạt </w:t>
      </w:r>
      <w:r>
        <w:rPr>
          <w:b/>
          <w:bCs/>
        </w:rPr>
        <w:t xml:space="preserve">49/49</w:t>
      </w:r>
      <w:r>
        <w:t xml:space="preserve">. Một số chức năng được nhiều sơ đồ cùng tham chiếu (1.1: SQ-13, SQ-15; 6.2 và 8.3: SQ-05/SQ-08 và SQ-09).</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400"/>
        <w:gridCol w:w="1600"/>
        <w:gridCol w:w="1771"/>
      </w:tblGrid>
      <w:tr>
        <w:trPr>
          <w:cantSplit/>
          <w:tblHeader/>
        </w:trPr>
        <w:tc>
          <w:tcPr>
            <w:tcW w:type="dxa" w:w="7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Mã</w:t>
            </w:r>
          </w:p>
        </w:tc>
        <w:tc>
          <w:tcPr>
            <w:tcW w:type="dxa" w:w="36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Chức năng</w:t>
            </w:r>
          </w:p>
        </w:tc>
        <w:tc>
          <w:tcPr>
            <w:tcW w:type="dxa" w:w="14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Tác nhân (BFD)</w:t>
            </w:r>
          </w:p>
        </w:tc>
        <w:tc>
          <w:tcPr>
            <w:tcW w:type="dxa" w:w="160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Sequence</w:t>
            </w:r>
          </w:p>
        </w:tc>
        <w:tc>
          <w:tcPr>
            <w:tcW w:type="dxa" w:w="177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vAlign w:val="center"/>
          </w:tcPr>
          <w:p>
            <w:pPr>
              <w:spacing w:after="20" w:line="260"/>
              <w:jc w:val="center"/>
            </w:pPr>
            <w:r>
              <w:rPr>
                <w:b/>
                <w:bCs/>
                <w:sz w:val="20"/>
                <w:szCs w:val="20"/>
              </w:rPr>
              <w:t xml:space="preserve">Activity</w:t>
            </w:r>
          </w:p>
        </w:tc>
      </w:tr>
      <w:tr>
        <w:trPr>
          <w:cantSplit w:val="off"/>
        </w:trPr>
        <w:tc>
          <w:tcPr>
            <w:tcW w:type="dxa" w:w="7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r>
              <w:rPr>
                <w:b/>
                <w:bCs/>
                <w:sz w:val="20"/>
                <w:szCs w:val="20"/>
              </w:rPr>
              <w:t xml:space="preserve">1. Quản trị hệ thống</w:t>
            </w:r>
          </w:p>
        </w:tc>
        <w:tc>
          <w:tcPr>
            <w:tcW w:type="dxa" w:w="36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4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6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771"/>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1.1</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Tài khoản, phân quyền theo đơn vị</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SQ-13, SQ-15</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AD-01, AD-10</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1.2</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Cơ cấu tổ chức đa cấp, đa cơ sở</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SQ-15</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AD-01</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1.3</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Vùng lương, tham số pháp lý theo hiệu lực</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SQ-10</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AD-01</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1.4</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Cấu hình chính sách theo cơ sở</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SQ-15</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AD-01</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1.5</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Quản lý kỳ công, kỳ lương</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 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SQ-11</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AD-01, AD-04, AD-07</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1.6</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Nhật ký kiểm toán</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SQ-10, SQ-11</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AD-01</w:t>
            </w:r>
          </w:p>
        </w:tc>
      </w:tr>
      <w:tr>
        <w:trPr>
          <w:cantSplit w:val="off"/>
        </w:trPr>
        <w:tc>
          <w:tcPr>
            <w:tcW w:type="dxa" w:w="7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r>
              <w:rPr>
                <w:b/>
                <w:bCs/>
                <w:sz w:val="20"/>
                <w:szCs w:val="20"/>
              </w:rPr>
              <w:t xml:space="preserve">2. Hồ sơ và hợp đồng</w:t>
            </w:r>
          </w:p>
        </w:tc>
        <w:tc>
          <w:tcPr>
            <w:tcW w:type="dxa" w:w="36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4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6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771"/>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2.1</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Hồ sơ nhân viên, người phụ thuộc</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SQ-14</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AD-02</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2.2</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Quản lý HĐLĐ và phụ lục</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SQ-14</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AD-02</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2.3</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Quyết định điều chuyển, thay đổi lương</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SQ-07</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AD-02, AD-07</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2.4</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Cảnh báo hết hạn hợp đồng</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SQ-14</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AD-02</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2.5</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Chấm dứt hợp đồng</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SQ-09</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AD-02</w:t>
            </w:r>
          </w:p>
        </w:tc>
      </w:tr>
      <w:tr>
        <w:trPr>
          <w:cantSplit w:val="off"/>
        </w:trPr>
        <w:tc>
          <w:tcPr>
            <w:tcW w:type="dxa" w:w="7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r>
              <w:rPr>
                <w:b/>
                <w:bCs/>
                <w:sz w:val="20"/>
                <w:szCs w:val="20"/>
              </w:rPr>
              <w:t xml:space="preserve">3. Ca làm việc</w:t>
            </w:r>
          </w:p>
        </w:tc>
        <w:tc>
          <w:tcPr>
            <w:tcW w:type="dxa" w:w="36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4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6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771"/>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3.1</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Định nghĩa ca, lịch nghỉ lễ</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SQ-01</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AD-03</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3.2</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Xếp ca, xoay ca cho tổ</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SQ-01</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AD-03</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3.3</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Đề xuất đổi ca</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SQ-01</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AD-03</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3.4</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Duyệt lịch ca toàn xưởng</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QĐ</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SQ-01</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AD-03</w:t>
            </w:r>
          </w:p>
        </w:tc>
      </w:tr>
      <w:tr>
        <w:trPr>
          <w:cantSplit w:val="off"/>
        </w:trPr>
        <w:tc>
          <w:tcPr>
            <w:tcW w:type="dxa" w:w="7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r>
              <w:rPr>
                <w:b/>
                <w:bCs/>
                <w:sz w:val="20"/>
                <w:szCs w:val="20"/>
              </w:rPr>
              <w:t xml:space="preserve">4. Chấm công</w:t>
            </w:r>
          </w:p>
        </w:tc>
        <w:tc>
          <w:tcPr>
            <w:tcW w:type="dxa" w:w="36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4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6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771"/>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4.1</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Tiếp nhận dữ liệu chấm công các cơ sở</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SQ-02</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AD-04</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4.2</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Ghép cặp vào/ra theo ca</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Hệ thống</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SQ-02</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AD-04</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4.3</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Xử lý ngoại lệ, giải trình công</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SQ-03</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AD-04</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4.4</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Xác nhận công thực tế</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SQ-03</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AD-04</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4.5</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Tổng hợp và chốt bảng công</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QĐ, 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SQ-03</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AD-04</w:t>
            </w:r>
          </w:p>
        </w:tc>
      </w:tr>
      <w:tr>
        <w:trPr>
          <w:cantSplit w:val="off"/>
        </w:trPr>
        <w:tc>
          <w:tcPr>
            <w:tcW w:type="dxa" w:w="7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r>
              <w:rPr>
                <w:b/>
                <w:bCs/>
                <w:sz w:val="20"/>
                <w:szCs w:val="20"/>
              </w:rPr>
              <w:t xml:space="preserve">5. Làm thêm giờ</w:t>
            </w:r>
          </w:p>
        </w:tc>
        <w:tc>
          <w:tcPr>
            <w:tcW w:type="dxa" w:w="36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4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6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771"/>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5.1</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Đề xuất OT</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SQ-04</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AD-05</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5.2</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Duyệt OT cấp 2</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QĐ</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SQ-04</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AD-05</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5.3</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Kiểm soát trần OT</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QĐ</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SQ-04</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AD-05</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5.4</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Tính giờ OT theo hệ số</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Hệ thống</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SQ-04</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AD-05</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5.5</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Quy đổi nghỉ bù</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SQ-04</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AD-05</w:t>
            </w:r>
          </w:p>
        </w:tc>
      </w:tr>
      <w:tr>
        <w:trPr>
          <w:cantSplit w:val="off"/>
        </w:trPr>
        <w:tc>
          <w:tcPr>
            <w:tcW w:type="dxa" w:w="7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r>
              <w:rPr>
                <w:b/>
                <w:bCs/>
                <w:sz w:val="20"/>
                <w:szCs w:val="20"/>
              </w:rPr>
              <w:t xml:space="preserve">6. Nghỉ phép và chế độ</w:t>
            </w:r>
          </w:p>
        </w:tc>
        <w:tc>
          <w:tcPr>
            <w:tcW w:type="dxa" w:w="36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4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6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771"/>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6.1</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Danh mục loại nghỉ</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SQ-05</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AD-06</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6.2</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Quản lý quỹ phép năm</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SQ-05, SQ-09</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AD-06</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6.3</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Ghi nhận, duyệt đơn nghỉ cấp 1</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SQ-05</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AD-06</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6.4</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Theo dõi ốm đau, thai sản</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SQ-05</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AD-06</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6.5</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Theo dõi tỷ lệ vắng mặt</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QĐ</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SQ-05</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AD-06</w:t>
            </w:r>
          </w:p>
        </w:tc>
      </w:tr>
      <w:tr>
        <w:trPr>
          <w:cantSplit w:val="off"/>
        </w:trPr>
        <w:tc>
          <w:tcPr>
            <w:tcW w:type="dxa" w:w="7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r>
              <w:rPr>
                <w:b/>
                <w:bCs/>
                <w:sz w:val="20"/>
                <w:szCs w:val="20"/>
              </w:rPr>
              <w:t xml:space="preserve">7. Tính lương và thưởng</w:t>
            </w:r>
          </w:p>
        </w:tc>
        <w:tc>
          <w:tcPr>
            <w:tcW w:type="dxa" w:w="36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4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6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771"/>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7.1</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Cấu hình cơ cấu lương, công thức</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SQ-06</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AD-07</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7.2</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Tính lương theo vùng, cơ sở</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SQ-06</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AD-07</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7.3</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Tính thưởng</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SQ-06</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AD-07</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7.4</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Truy lĩnh, truy thu</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SQ-07</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AD-07</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7.5</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Duyệt và khóa bảng lương</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SQ-06</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AD-07</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7.6</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Phiếu lương, file chi lương</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SQ-06</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AD-07</w:t>
            </w:r>
          </w:p>
        </w:tc>
      </w:tr>
      <w:tr>
        <w:trPr>
          <w:cantSplit w:val="off"/>
        </w:trPr>
        <w:tc>
          <w:tcPr>
            <w:tcW w:type="dxa" w:w="7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r>
              <w:rPr>
                <w:b/>
                <w:bCs/>
                <w:sz w:val="20"/>
                <w:szCs w:val="20"/>
              </w:rPr>
              <w:t xml:space="preserve">8. Bảo hiểm và thuế TNCN</w:t>
            </w:r>
          </w:p>
        </w:tc>
        <w:tc>
          <w:tcPr>
            <w:tcW w:type="dxa" w:w="36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4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6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771"/>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8.1</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Mức đóng BH theo vùng (sàn, trần)</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SQ-08</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AD-08</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8.2</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Tính BHXH, BHYT, BHTN, KPCĐ</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SQ-08</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AD-08</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8.3</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Báo tăng, giảm BH</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SQ-08, SQ-09</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AD-08</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8.4</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Khấu trừ thuế TNCN</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SQ-08</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AD-08</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8.5</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Quyết toán thuế năm</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SQ-08</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AD-08</w:t>
            </w:r>
          </w:p>
        </w:tc>
      </w:tr>
      <w:tr>
        <w:trPr>
          <w:cantSplit w:val="off"/>
        </w:trPr>
        <w:tc>
          <w:tcPr>
            <w:tcW w:type="dxa" w:w="7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r>
              <w:rPr>
                <w:b/>
                <w:bCs/>
                <w:sz w:val="20"/>
                <w:szCs w:val="20"/>
              </w:rPr>
              <w:t xml:space="preserve">9. Phúc lợi</w:t>
            </w:r>
          </w:p>
        </w:tc>
        <w:tc>
          <w:tcPr>
            <w:tcW w:type="dxa" w:w="36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4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6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771"/>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9.1</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Danh mục, điều kiện hưởng</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SQ-12</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AD-09</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9.2</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Cấp phát phúc lợi</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SQ-12</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AD-09</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9.3</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Trợ cấp thôi việc, mất việc</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SQ-09</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AD-02, AD-09</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9.4</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Theo dõi chi phí phúc lợi</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SQ-12</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AD-09</w:t>
            </w:r>
          </w:p>
        </w:tc>
      </w:tr>
      <w:tr>
        <w:trPr>
          <w:cantSplit w:val="off"/>
        </w:trPr>
        <w:tc>
          <w:tcPr>
            <w:tcW w:type="dxa" w:w="7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r>
              <w:rPr>
                <w:b/>
                <w:bCs/>
                <w:sz w:val="20"/>
                <w:szCs w:val="20"/>
              </w:rPr>
              <w:t xml:space="preserve">10. Báo cáo, thống kê</w:t>
            </w:r>
          </w:p>
        </w:tc>
        <w:tc>
          <w:tcPr>
            <w:tcW w:type="dxa" w:w="36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4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600"/>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c>
          <w:tcPr>
            <w:tcW w:type="dxa" w:w="1771"/>
            <w:tcBorders>
              <w:top w:val="single" w:color="808080" w:sz="4"/>
              <w:left w:val="single" w:color="808080" w:sz="4"/>
              <w:bottom w:val="single" w:color="808080" w:sz="4"/>
              <w:right w:val="single" w:color="808080" w:sz="4"/>
            </w:tcBorders>
            <w:shd w:fill="EEF2F8" w:val="clear"/>
            <w:tcMar>
              <w:top w:type="dxa" w:w="50"/>
              <w:left w:type="dxa" w:w="90"/>
              <w:bottom w:type="dxa" w:w="50"/>
              <w:right w:type="dxa" w:w="90"/>
            </w:tcMar>
            <w:vAlign w:val="top"/>
          </w:tcPr>
          <w:p>
            <w:pPr>
              <w:spacing w:after="20" w:line="260"/>
              <w:jc w:val="left"/>
            </w:pP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10.1</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Công, OT theo tổ và xưởng</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TT, QĐ</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SQ-13</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AD-10</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10.2</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Biến động nhân sự</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QĐ</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SQ-13</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AD-10</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10.3</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Quỹ lương theo cơ sở, đơn vị</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SQ-13</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AD-10</w:t>
            </w:r>
          </w:p>
        </w:tc>
      </w:tr>
      <w:tr>
        <w:trPr>
          <w:cantSplit w:val="off"/>
        </w:trPr>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10.4</w:t>
            </w:r>
          </w:p>
        </w:tc>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Báo cáo BH, thuế</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KT</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SQ-13</w:t>
            </w:r>
          </w:p>
        </w:tc>
        <w:tc>
          <w:tcPr>
            <w:tcW w:type="dxa" w:w="177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jc w:val="left"/>
            </w:pPr>
            <w:r>
              <w:rPr>
                <w:sz w:val="20"/>
                <w:szCs w:val="20"/>
              </w:rPr>
              <w:t xml:space="preserve">AD-10</w:t>
            </w:r>
          </w:p>
        </w:tc>
      </w:tr>
    </w:tbl>
    <w:p>
      <w:pPr>
        <w:pStyle w:val="Heading1"/>
        <w:keepNext/>
      </w:pPr>
      <w:r>
        <w:t xml:space="preserve">3. Thay đổi so với bản trước</w:t>
      </w:r>
    </w:p>
    <w:p>
      <w:pPr>
        <w:pStyle w:val="ListParagraph"/>
        <w:numPr>
          <w:ilvl w:val="0"/>
          <w:numId w:val="2"/>
        </w:numPr>
        <w:spacing w:after="60" w:line="300"/>
        <w:jc w:val="both"/>
      </w:pPr>
      <w:r>
        <w:t xml:space="preserve">Bổ sung các cột Nội dung, Tác nhân, AD tương ứng (bản trước chỉ có hai cột).</w:t>
      </w:r>
    </w:p>
    <w:p>
      <w:pPr>
        <w:pStyle w:val="ListParagraph"/>
        <w:numPr>
          <w:ilvl w:val="0"/>
          <w:numId w:val="2"/>
        </w:numPr>
        <w:spacing w:after="60" w:line="300"/>
        <w:jc w:val="both"/>
      </w:pPr>
      <w:r>
        <w:t xml:space="preserve">Bổ sung SQ-14 (2.1, 2.2, 2.4) và SQ-15 (1.1, 1.2, 1.4) – độ phủ từ 44/49 lên 49/49.</w:t>
      </w:r>
    </w:p>
    <w:p>
      <w:pPr>
        <w:pStyle w:val="ListParagraph"/>
        <w:numPr>
          <w:ilvl w:val="0"/>
          <w:numId w:val="2"/>
        </w:numPr>
        <w:spacing w:after="60" w:line="300"/>
        <w:jc w:val="both"/>
      </w:pPr>
      <w:r>
        <w:t xml:space="preserve">Tác nhân của SQ-02 (Admin), SQ-10 (Admin), SQ-11 (Admin, Kế toán) đã được đối chiếu với lifeline trên sơ đồ, khớp với BFD.</w:t>
      </w:r>
    </w:p>
    <w:p>
      <w:pPr>
        <w:pStyle w:val="ListParagraph"/>
        <w:numPr>
          <w:ilvl w:val="0"/>
          <w:numId w:val="2"/>
        </w:numPr>
        <w:spacing w:after="60" w:line="300"/>
        <w:jc w:val="both"/>
      </w:pPr>
      <w:r>
        <w:t xml:space="preserve">Thêm ma trận độ phủ 49 chức năng BFD – sequence – activity.</w:t>
      </w:r>
    </w:p>
    <w:p>
      <w:pPr>
        <w:sectPr>
          <w:headerReference w:type="default" r:id="rId6"/>
          <w:footerReference w:type="default" r:id="rId7"/>
          <w:pgSz w:w="11906" w:h="16838" w:orient="portrait"/>
          <w:pgMar w:top="1134" w:right="1134" w:bottom="1134" w:left="1701" w:header="708" w:footer="708" w:gutter="0"/>
          <w:pgNumType/>
          <w:docGrid w:linePitch="360"/>
        </w:sectPr>
      </w:pPr>
    </w:p>
    <w:p>
      <w:pPr>
        <w:pStyle w:val="Heading1"/>
        <w:keepNext/>
      </w:pPr>
      <w:r>
        <w:t xml:space="preserve">Phụ lục 1. SQ-14 – Quản lý hồ sơ nhân viên, hợp đồng, phụ lục, cảnh báo hết hạn (2.1, 2.2, 2.4)</w:t>
      </w:r>
    </w:p>
    <w:p>
      <w:pPr>
        <w:keepNext/>
        <w:spacing w:after="60" w:before="120"/>
        <w:jc w:val="center"/>
      </w:pPr>
      <w:r>
        <w:drawing>
          <wp:inline distT="0" distB="0" distL="0" distR="0">
            <wp:extent cx="5715000" cy="649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6496050"/>
                    </a:xfrm>
                    <a:prstGeom prst="rect">
                      <a:avLst/>
                    </a:prstGeom>
                  </pic:spPr>
                </pic:pic>
              </a:graphicData>
            </a:graphic>
          </wp:inline>
        </w:drawing>
      </w:r>
    </w:p>
    <w:p>
      <w:pPr>
        <w:spacing w:after="200"/>
        <w:jc w:val="center"/>
      </w:pPr>
      <w:r>
        <w:rPr>
          <w:i/>
          <w:iCs/>
          <w:sz w:val="22"/>
          <w:szCs w:val="22"/>
        </w:rPr>
        <w:t xml:space="preserve">Hình 1. SQ-14 – Quản lý hồ sơ nhân viên, hợp đồng, phụ lục, cảnh báo hết hạn (2.1, 2.2, 2.4)</w:t>
      </w:r>
    </w:p>
    <w:p>
      <w:pPr>
        <w:sectPr>
          <w:headerReference w:type="default" r:id="rId8"/>
          <w:footerReference w:type="default" r:id="rId9"/>
          <w:pgSz w:w="11906" w:h="16838" w:orient="portrait"/>
          <w:pgMar w:top="1134" w:right="1134" w:bottom="1134" w:left="1701" w:header="708" w:footer="708" w:gutter="0"/>
          <w:pgNumType/>
          <w:docGrid w:linePitch="360"/>
        </w:sectPr>
      </w:pPr>
    </w:p>
    <w:p>
      <w:pPr>
        <w:pStyle w:val="Heading1"/>
        <w:keepNext/>
      </w:pPr>
      <w:r>
        <w:t xml:space="preserve">Phụ lục 2. SQ-15 – Thiết lập cơ cấu tổ chức, tài khoản, chính sách theo cơ sở (1.1, 1.2, 1.4)</w:t>
      </w:r>
    </w:p>
    <w:p>
      <w:pPr>
        <w:keepNext/>
        <w:spacing w:after="60" w:before="120"/>
        <w:jc w:val="center"/>
      </w:pPr>
      <w:r>
        <w:drawing>
          <wp:inline distT="0" distB="0" distL="0" distR="0">
            <wp:extent cx="5381625" cy="7810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81625" cy="7810500"/>
                    </a:xfrm>
                    <a:prstGeom prst="rect">
                      <a:avLst/>
                    </a:prstGeom>
                  </pic:spPr>
                </pic:pic>
              </a:graphicData>
            </a:graphic>
          </wp:inline>
        </w:drawing>
      </w:r>
    </w:p>
    <w:p>
      <w:pPr>
        <w:spacing w:after="200"/>
        <w:jc w:val="center"/>
      </w:pPr>
      <w:r>
        <w:rPr>
          <w:i/>
          <w:iCs/>
          <w:sz w:val="22"/>
          <w:szCs w:val="22"/>
        </w:rPr>
        <w:t xml:space="preserve">Hình 2. SQ-15 – Thiết lập cơ cấu tổ chức, tài khoản, chính sách theo cơ sở (1.1, 1.2, 1.4)</w:t>
      </w:r>
    </w:p>
    <w:sectPr>
      <w:headerReference w:type="default" r:id="rId10"/>
      <w:footerReference w:type="default" r:id="rId11"/>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Bảng ánh xạ SQ – use case –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Bảng ánh xạ SQ – use case – v2.0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Bảng ánh xạ SQ – use case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1F3864"/>
      <w:sz w:val="27"/>
      <w:szCs w:val="27"/>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image" Target="media/c3bacdd4c3aaf52c921a96cb2684d6c208389d4c.png"/><Relationship Id="rId14" Type="http://schemas.openxmlformats.org/officeDocument/2006/relationships/image" Target="media/2dc06af3d2002ee6ec61a0b8018a2a82c6c05ce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Bảng ánh xạ SQ – use case – v2.0</dc:title>
  <dc:creator>Nhóm dự án HRTP</dc:creator>
  <cp:lastModifiedBy>Un-named</cp:lastModifiedBy>
  <cp:revision>1</cp:revision>
  <dcterms:created xsi:type="dcterms:W3CDTF">2026-10-01T18:11:17.477Z</dcterms:created>
  <dcterms:modified xsi:type="dcterms:W3CDTF">2026-10-01T18:11:17.478Z</dcterms:modified>
</cp:coreProperties>
</file>

<file path=docProps/custom.xml><?xml version="1.0" encoding="utf-8"?>
<Properties xmlns="http://schemas.openxmlformats.org/officeDocument/2006/custom-properties" xmlns:vt="http://schemas.openxmlformats.org/officeDocument/2006/docPropsVTypes"/>
</file>