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Calibri" w:hAnsi="Calibri"/>
          <w:b/>
          <w:i w:val="0"/>
          <w:color w:val="2F5496"/>
          <w:sz w:val="40"/>
        </w:rPr>
        <w:t>TÀI LIỆU YÊU CẦU NGHIỆP VỤ (BRD)</w:t>
        <w:br/>
        <w:t>HE THONG QUAN LY CHAM CONG &amp; TIEN LUONG</w:t>
        <w:br/>
        <w:t>CHO NHA MAY SAN XUAT DIEN TU</w:t>
      </w:r>
    </w:p>
    <w:p>
      <w:pPr>
        <w:spacing w:after="2000"/>
        <w:jc w:val="center"/>
      </w:pPr>
      <w:r>
        <w:rPr>
          <w:rFonts w:ascii="Calibri" w:hAnsi="Calibri"/>
          <w:b w:val="0"/>
          <w:i/>
          <w:color w:val="808080"/>
          <w:sz w:val="24"/>
        </w:rPr>
        <w:t>Phiên bản: 1.0 (Áp dụng cho kỳ quyết toán năm 2026)</w:t>
        <w:br/>
        <w:t>Chuẩn hóa theo BLLĐ 2019, NĐ 293/2025/NĐ-CP và NĐ 283/2026/NĐ-CP</w:t>
      </w:r>
    </w:p>
    <w:p>
      <w:pPr>
        <w:jc w:val="left"/>
      </w:pPr>
      <w:r>
        <w:rPr>
          <w:rFonts w:ascii="Calibri" w:hAnsi="Calibri"/>
          <w:b w:val="0"/>
          <w:i w:val="0"/>
          <w:color w:val="404040"/>
          <w:sz w:val="22"/>
        </w:rPr>
        <w:t>Đơn vị xây dựng: Dự án Quản lý nhân sự - tiền lương điện tử</w:t>
        <w:br/>
        <w:t>Đối tượng áp dụng: Nhà máy sản xuất linh kiện điện tử quy mô 300 - 1.000 lao động</w:t>
        <w:br/>
        <w:t>Ngày ban hành: 26/08/2026</w:t>
      </w:r>
    </w:p>
    <w:p>
      <w:r>
        <w:br w:type="page"/>
      </w:r>
    </w:p>
    <w:p>
      <w:pPr>
        <w:keepNext/>
        <w:spacing w:before="240" w:after="80"/>
      </w:pPr>
      <w:r>
        <w:rPr>
          <w:rFonts w:ascii="Calibri" w:hAnsi="Calibri"/>
          <w:b/>
          <w:i w:val="0"/>
          <w:color w:val="2F5496"/>
          <w:sz w:val="32"/>
        </w:rPr>
        <w:t>CHƯƠNG I: PHẠM VI DỰ ÁN &amp; CÁC BÊN LIÊN QUAN</w:t>
      </w:r>
    </w:p>
    <w:p>
      <w:r>
        <w:t>Dự án xây dựng hệ thống phần mềm Chấm công và Tính lương (Hệ thống) được thiết kế đặc thù cho các doanh nghiệp sản xuất trong lĩnh vực điện tử tại Việt Nam. Hệ thống này đảm bảo giải quyết đồng thời hai thách thức lớn: tự động hóa quy trình chấm công, tính lương phức tạp của xưởng sản xuất (ca kíp, tăng ca ca đêm) và kiểm soát rủi ro pháp lý theo các văn bản pháp luật lao động mới nhất tại Việt Nam.</w:t>
      </w:r>
    </w:p>
    <w:p>
      <w:pPr>
        <w:keepNext/>
        <w:spacing w:before="240" w:after="80"/>
      </w:pPr>
      <w:r>
        <w:rPr>
          <w:rFonts w:ascii="Calibri" w:hAnsi="Calibri"/>
          <w:b/>
          <w:i w:val="0"/>
          <w:color w:val="4472C4"/>
          <w:sz w:val="26"/>
        </w:rPr>
        <w:t>1. Phạm vi nghiệp vụ của hệ thống</w:t>
      </w:r>
    </w:p>
    <w:p>
      <w:r>
        <w:t>Hệ thống bao gồm các phân hệ cốt lõi sau:</w:t>
      </w:r>
    </w:p>
    <w:p>
      <w:pPr>
        <w:pStyle w:val="ListBullet"/>
      </w:pPr>
      <w:r>
        <w:rPr>
          <w:b/>
        </w:rPr>
        <w:t xml:space="preserve">Quản lý Hồ sơ nhân sự điện tử: </w:t>
      </w:r>
      <w:r>
        <w:t>Lưu trữ, cập nhật thông tin nhân sự và tự động đồng bộ sang Sổ quản lý lao động điện tử theo quy chuẩn Điều 12 Bộ luật Lao động 2019.</w:t>
      </w:r>
    </w:p>
    <w:p>
      <w:pPr>
        <w:pStyle w:val="ListBullet"/>
      </w:pPr>
      <w:r>
        <w:rPr>
          <w:b/>
        </w:rPr>
        <w:t xml:space="preserve">Quản lý Chấm công thông minh: </w:t>
      </w:r>
      <w:r>
        <w:t>Thu nhận dữ liệu quẹt thẻ thô từ máy chấm công vân tay/khuôn mặt, tự động ghép ca, duyệt đơn từ xin nghỉ phép, giải trình đi muộn/về sớm và đăng ký tăng ca trực tuyến.</w:t>
      </w:r>
    </w:p>
    <w:p>
      <w:pPr>
        <w:pStyle w:val="ListBullet"/>
      </w:pPr>
      <w:r>
        <w:rPr>
          <w:b/>
        </w:rPr>
        <w:t xml:space="preserve">Quản lý Tiền lương tự động (Payroll Module): </w:t>
      </w:r>
      <w:r>
        <w:t>Cấu hình linh hoạt thang bảng lương, tính lương thời gian, lương sản phẩm KPI, phụ cấp ca đêm, lương ngoài giờ lũy tiến ca đêm, tự động trích nộp các khoản BH bắt buộc và thuế TNCN.</w:t>
      </w:r>
    </w:p>
    <w:p>
      <w:pPr>
        <w:pStyle w:val="ListBullet"/>
      </w:pPr>
      <w:r>
        <w:rPr>
          <w:b/>
        </w:rPr>
        <w:t xml:space="preserve">Cổng thông tin tự phục vụ (ESS &amp; MSS): </w:t>
      </w:r>
      <w:r>
        <w:t>Công nhân trực tiếp dễ dàng tra cứu bảng công hàng ngày, gửi đơn từ và nhận phiếu lương (Payslip) bảo mật qua thiết bị di động hoặc máy tính bảng Kiosk đặt tại xưởng.</w:t>
      </w:r>
    </w:p>
    <w:p>
      <w:pPr>
        <w:keepNext/>
        <w:spacing w:before="240" w:after="80"/>
      </w:pPr>
      <w:r>
        <w:rPr>
          <w:rFonts w:ascii="Calibri" w:hAnsi="Calibri"/>
          <w:b/>
          <w:i w:val="0"/>
          <w:color w:val="4472C4"/>
          <w:sz w:val="26"/>
        </w:rPr>
        <w:t>2. Định nghĩa vai trò sử dụng hệ thống (Actors Specification)</w:t>
      </w:r>
    </w:p>
    <w:p>
      <w:r>
        <w:t>Để đảm bảo tính bảo mật và đúng thẩm quyền, phần mềm thiết lập ma trận phân quyền dựa trên 5 đối tượng người dùng chính:</w:t>
      </w:r>
    </w:p>
    <w:tbl>
      <w:tblPr>
        <w:tblW w:type="auto" w:w="0"/>
        <w:jc w:val="center"/>
        <w:tblLayout w:type="fixed"/>
        <w:tblLook w:firstColumn="1" w:firstRow="1" w:lastColumn="0" w:lastRow="0" w:noHBand="0" w:noVBand="1" w:val="04A0"/>
      </w:tblPr>
      <w:tblGrid>
        <w:gridCol w:w="3120"/>
        <w:gridCol w:w="3120"/>
        <w:gridCol w:w="3120"/>
      </w:tblGrid>
      <w:tr>
        <w:tc>
          <w:tcPr>
            <w:tcW w:type="dxa" w:w="1728"/>
            <w:shd w:val="clear" w:color="auto" w:fill="2F5496"/>
            <w:tcMar>
              <w:top w:w="100" w:type="dxa"/>
              <w:bottom w:w="100" w:type="dxa"/>
              <w:left w:w="150" w:type="dxa"/>
              <w:right w:w="150" w:type="dxa"/>
            </w:tcMar>
          </w:tcPr>
          <w:p>
            <w:r>
              <w:rPr>
                <w:b/>
                <w:color w:val="FFFFFF"/>
              </w:rPr>
              <w:t>Mã vai trò</w:t>
            </w:r>
          </w:p>
        </w:tc>
        <w:tc>
          <w:tcPr>
            <w:tcW w:type="dxa" w:w="2592"/>
            <w:shd w:val="clear" w:color="auto" w:fill="2F5496"/>
            <w:tcMar>
              <w:top w:w="100" w:type="dxa"/>
              <w:bottom w:w="100" w:type="dxa"/>
              <w:left w:w="150" w:type="dxa"/>
              <w:right w:w="150" w:type="dxa"/>
            </w:tcMar>
          </w:tcPr>
          <w:p>
            <w:r>
              <w:rPr>
                <w:b/>
                <w:color w:val="FFFFFF"/>
              </w:rPr>
              <w:t>Tên vai trò</w:t>
            </w:r>
          </w:p>
        </w:tc>
        <w:tc>
          <w:tcPr>
            <w:tcW w:type="dxa" w:w="5040"/>
            <w:shd w:val="clear" w:color="auto" w:fill="2F5496"/>
            <w:tcMar>
              <w:top w:w="100" w:type="dxa"/>
              <w:bottom w:w="100" w:type="dxa"/>
              <w:left w:w="150" w:type="dxa"/>
              <w:right w:w="150" w:type="dxa"/>
            </w:tcMar>
          </w:tcPr>
          <w:p>
            <w:r>
              <w:rPr>
                <w:b/>
                <w:color w:val="FFFFFF"/>
              </w:rPr>
              <w:t>Mô tả phân quyền dữ liệu và tính năng</w:t>
            </w:r>
          </w:p>
        </w:tc>
      </w:tr>
      <w:tr>
        <w:tc>
          <w:tcPr>
            <w:tcW w:type="dxa" w:w="1728"/>
            <w:tcMar>
              <w:top w:w="100" w:type="dxa"/>
              <w:bottom w:w="100" w:type="dxa"/>
              <w:left w:w="150" w:type="dxa"/>
              <w:right w:w="150" w:type="dxa"/>
            </w:tcMar>
          </w:tcPr>
          <w:p>
            <w:r>
              <w:t>C1</w:t>
            </w:r>
          </w:p>
        </w:tc>
        <w:tc>
          <w:tcPr>
            <w:tcW w:type="dxa" w:w="2592"/>
            <w:tcMar>
              <w:top w:w="100" w:type="dxa"/>
              <w:bottom w:w="100" w:type="dxa"/>
              <w:left w:w="150" w:type="dxa"/>
              <w:right w:w="150" w:type="dxa"/>
            </w:tcMar>
          </w:tcPr>
          <w:p>
            <w:r>
              <w:t>Công nhân trực tiếp</w:t>
            </w:r>
          </w:p>
        </w:tc>
        <w:tc>
          <w:tcPr>
            <w:tcW w:type="dxa" w:w="5040"/>
            <w:tcMar>
              <w:top w:w="100" w:type="dxa"/>
              <w:bottom w:w="100" w:type="dxa"/>
              <w:left w:w="150" w:type="dxa"/>
              <w:right w:w="150" w:type="dxa"/>
            </w:tcMar>
          </w:tcPr>
          <w:p>
            <w:r>
              <w:t>Xem bảng công cá nhân, gửi đơn xin phép nghỉ, giải trình công tác, đăng ký tăng ca. Nhận phiếu lương bảo mật qua tài khoản cá nhân.</w:t>
            </w:r>
          </w:p>
        </w:tc>
      </w:tr>
      <w:tr>
        <w:tc>
          <w:tcPr>
            <w:tcW w:type="dxa" w:w="1728"/>
            <w:tcMar>
              <w:top w:w="100" w:type="dxa"/>
              <w:bottom w:w="100" w:type="dxa"/>
              <w:left w:w="150" w:type="dxa"/>
              <w:right w:w="150" w:type="dxa"/>
            </w:tcMar>
            <w:shd w:val="clear" w:color="auto" w:fill="F2F2F2"/>
          </w:tcPr>
          <w:p>
            <w:r>
              <w:t>D3</w:t>
            </w:r>
          </w:p>
        </w:tc>
        <w:tc>
          <w:tcPr>
            <w:tcW w:type="dxa" w:w="2592"/>
            <w:tcMar>
              <w:top w:w="100" w:type="dxa"/>
              <w:bottom w:w="100" w:type="dxa"/>
              <w:left w:w="150" w:type="dxa"/>
              <w:right w:w="150" w:type="dxa"/>
            </w:tcMar>
            <w:shd w:val="clear" w:color="auto" w:fill="F2F2F2"/>
          </w:tcPr>
          <w:p>
            <w:r>
              <w:t>Quản lý phân xưởng</w:t>
            </w:r>
          </w:p>
        </w:tc>
        <w:tc>
          <w:tcPr>
            <w:tcW w:type="dxa" w:w="5040"/>
            <w:tcMar>
              <w:top w:w="100" w:type="dxa"/>
              <w:bottom w:w="100" w:type="dxa"/>
              <w:left w:w="150" w:type="dxa"/>
              <w:right w:w="150" w:type="dxa"/>
            </w:tcMar>
            <w:shd w:val="clear" w:color="auto" w:fill="F2F2F2"/>
          </w:tcPr>
          <w:p>
            <w:r>
              <w:t>Phê duyệt kế hoạch phân ca tuần/tháng, duyệt đơn xin nghỉ phép (&lt;3 ngày) và đơn đăng ký tăng ca của tổ mình phụ trách. Xem báo cáo công tổng hợp của tổ.</w:t>
            </w:r>
          </w:p>
        </w:tc>
      </w:tr>
      <w:tr>
        <w:tc>
          <w:tcPr>
            <w:tcW w:type="dxa" w:w="1728"/>
            <w:tcMar>
              <w:top w:w="100" w:type="dxa"/>
              <w:bottom w:w="100" w:type="dxa"/>
              <w:left w:w="150" w:type="dxa"/>
              <w:right w:w="150" w:type="dxa"/>
            </w:tcMar>
          </w:tcPr>
          <w:p>
            <w:r>
              <w:t>A3</w:t>
            </w:r>
          </w:p>
        </w:tc>
        <w:tc>
          <w:tcPr>
            <w:tcW w:type="dxa" w:w="2592"/>
            <w:tcMar>
              <w:top w:w="100" w:type="dxa"/>
              <w:bottom w:w="100" w:type="dxa"/>
              <w:left w:w="150" w:type="dxa"/>
              <w:right w:w="150" w:type="dxa"/>
            </w:tcMar>
          </w:tcPr>
          <w:p>
            <w:r>
              <w:t>Chuyên viên tiền lương (HR)</w:t>
            </w:r>
          </w:p>
        </w:tc>
        <w:tc>
          <w:tcPr>
            <w:tcW w:type="dxa" w:w="5040"/>
            <w:tcMar>
              <w:top w:w="100" w:type="dxa"/>
              <w:bottom w:w="100" w:type="dxa"/>
              <w:left w:w="150" w:type="dxa"/>
              <w:right w:w="150" w:type="dxa"/>
            </w:tcMar>
          </w:tcPr>
          <w:p>
            <w:r>
              <w:t>Quản lý hồ sơ nhân sự, sổ quản lý lao động. Cấu hình ca kíp, nhập dữ liệu công thô, duyệt ngoại lệ công. Thiết lập thang bảng lương và thực hiện tính lương.</w:t>
            </w:r>
          </w:p>
        </w:tc>
      </w:tr>
      <w:tr>
        <w:tc>
          <w:tcPr>
            <w:tcW w:type="dxa" w:w="1728"/>
            <w:tcMar>
              <w:top w:w="100" w:type="dxa"/>
              <w:bottom w:w="100" w:type="dxa"/>
              <w:left w:w="150" w:type="dxa"/>
              <w:right w:w="150" w:type="dxa"/>
            </w:tcMar>
            <w:shd w:val="clear" w:color="auto" w:fill="F2F2F2"/>
          </w:tcPr>
          <w:p>
            <w:r>
              <w:t>D2</w:t>
            </w:r>
          </w:p>
        </w:tc>
        <w:tc>
          <w:tcPr>
            <w:tcW w:type="dxa" w:w="2592"/>
            <w:tcMar>
              <w:top w:w="100" w:type="dxa"/>
              <w:bottom w:w="100" w:type="dxa"/>
              <w:left w:w="150" w:type="dxa"/>
              <w:right w:w="150" w:type="dxa"/>
            </w:tcMar>
            <w:shd w:val="clear" w:color="auto" w:fill="F2F2F2"/>
          </w:tcPr>
          <w:p>
            <w:r>
              <w:t>Kế toán trưởng</w:t>
            </w:r>
          </w:p>
        </w:tc>
        <w:tc>
          <w:tcPr>
            <w:tcW w:type="dxa" w:w="5040"/>
            <w:tcMar>
              <w:top w:w="100" w:type="dxa"/>
              <w:bottom w:w="100" w:type="dxa"/>
              <w:left w:w="150" w:type="dxa"/>
              <w:right w:w="150" w:type="dxa"/>
            </w:tcMar>
            <w:shd w:val="clear" w:color="auto" w:fill="F2F2F2"/>
          </w:tcPr>
          <w:p>
            <w:r>
              <w:t>Kiểm tra bảng thanh toán tiền lương toàn công ty, ký duyệt phiếu chi lương ngân hàng. Đẩy bút toán chi phí lương sang hệ thống kế toán ERP.</w:t>
            </w:r>
          </w:p>
        </w:tc>
      </w:tr>
      <w:tr>
        <w:tc>
          <w:tcPr>
            <w:tcW w:type="dxa" w:w="1728"/>
            <w:tcMar>
              <w:top w:w="100" w:type="dxa"/>
              <w:bottom w:w="100" w:type="dxa"/>
              <w:left w:w="150" w:type="dxa"/>
              <w:right w:w="150" w:type="dxa"/>
            </w:tcMar>
          </w:tcPr>
          <w:p>
            <w:r>
              <w:t>D3-Director</w:t>
            </w:r>
          </w:p>
        </w:tc>
        <w:tc>
          <w:tcPr>
            <w:tcW w:type="dxa" w:w="2592"/>
            <w:tcMar>
              <w:top w:w="100" w:type="dxa"/>
              <w:bottom w:w="100" w:type="dxa"/>
              <w:left w:w="150" w:type="dxa"/>
              <w:right w:w="150" w:type="dxa"/>
            </w:tcMar>
          </w:tcPr>
          <w:p>
            <w:r>
              <w:t>Ban Giám đốc</w:t>
            </w:r>
          </w:p>
        </w:tc>
        <w:tc>
          <w:tcPr>
            <w:tcW w:type="dxa" w:w="5040"/>
            <w:tcMar>
              <w:top w:w="100" w:type="dxa"/>
              <w:bottom w:w="100" w:type="dxa"/>
              <w:left w:w="150" w:type="dxa"/>
              <w:right w:w="150" w:type="dxa"/>
            </w:tcMar>
          </w:tcPr>
          <w:p>
            <w:r>
              <w:t>Duyệt toàn bộ bảng thanh toán lương tháng, phê duyệt nội quy/quy chế thưởng và các trường hợp tăng ca đặc biệt vượt khung hoặc đơn xin nghỉ dài ngày.</w:t>
            </w:r>
          </w:p>
        </w:tc>
      </w:tr>
    </w:tbl>
    <w:p>
      <w:pPr>
        <w:keepNext/>
        <w:spacing w:before="240" w:after="80"/>
      </w:pPr>
      <w:r>
        <w:rPr>
          <w:rFonts w:ascii="Calibri" w:hAnsi="Calibri"/>
          <w:b/>
          <w:i w:val="0"/>
          <w:color w:val="2F5496"/>
          <w:sz w:val="32"/>
        </w:rPr>
        <w:t>CHƯƠNG II: QUẢN LÝ CƠ CẤU VÀ KỲ LƯƠNG</w:t>
      </w:r>
    </w:p>
    <w:p>
      <w:pPr>
        <w:keepNext/>
        <w:spacing w:before="240" w:after="80"/>
      </w:pPr>
      <w:r>
        <w:rPr>
          <w:rFonts w:ascii="Calibri" w:hAnsi="Calibri"/>
          <w:b/>
          <w:i w:val="0"/>
          <w:color w:val="4472C4"/>
          <w:sz w:val="26"/>
        </w:rPr>
        <w:t>1. Cơ cấu phòng ban nhiều cấp</w:t>
      </w:r>
    </w:p>
    <w:p>
      <w:r>
        <w:t>Phần mềm hỗ trợ quản trị sơ đồ tổ chức đa cấp linh hoạt cho phép phân nhóm người lao động để quản lý chấm công và hạch toán chi phí nhân công theo Phân xưởng sản xuất hoặc Tổ/Nhóm sản xuất chuyên biệt (Ví dụ: Tổ SMT, Tổ Lắp ráp 1, Tổ Kiểm tra chất lượng QC).</w:t>
      </w:r>
    </w:p>
    <w:p>
      <w:pPr>
        <w:keepNext/>
        <w:spacing w:before="240" w:after="80"/>
      </w:pPr>
      <w:r>
        <w:rPr>
          <w:rFonts w:ascii="Calibri" w:hAnsi="Calibri"/>
          <w:b/>
          <w:i w:val="0"/>
          <w:color w:val="4472C4"/>
          <w:sz w:val="26"/>
        </w:rPr>
        <w:t>2. Thiết lập chu kỳ chốt công và thanh toán lương</w:t>
      </w:r>
    </w:p>
    <w:p>
      <w:r>
        <w:t>Nhằm đáp ứng yêu cầu tài chính và đối chiếu hồ sơ bảo hiểm hằng tháng, hệ thống cấu hình:</w:t>
      </w:r>
    </w:p>
    <w:p>
      <w:pPr>
        <w:pStyle w:val="ListBullet"/>
      </w:pPr>
      <w:r>
        <w:rPr>
          <w:b/>
        </w:rPr>
        <w:t xml:space="preserve">Kỳ chốt công (Cut-off date): </w:t>
      </w:r>
      <w:r>
        <w:t>Bắt đầu từ ngày 26 tháng trước đến hết ngày 25 tháng này (ví dụ: công tháng 9 được tính từ 26/08 đến 25/09).</w:t>
      </w:r>
    </w:p>
    <w:p>
      <w:pPr>
        <w:pStyle w:val="ListBullet"/>
      </w:pPr>
      <w:r>
        <w:rPr>
          <w:b/>
        </w:rPr>
        <w:t xml:space="preserve">Kỳ thanh toán lương: </w:t>
      </w:r>
      <w:r>
        <w:t>Doanh nghiệp chi trả lương vào ngày 10 của tháng tiếp theo.</w:t>
      </w:r>
    </w:p>
    <w:p>
      <w:pPr>
        <w:pStyle w:val="ListBullet"/>
      </w:pPr>
      <w:r>
        <w:rPr>
          <w:b/>
        </w:rPr>
        <w:t xml:space="preserve">Quy định trả chậm lương: </w:t>
      </w:r>
      <w:r>
        <w:t>Phần mềm tích hợp cảnh báo nếu trả chậm lương quá 15 ngày, hệ thống sẽ tự động tính thêm tiền đền bù tương đương lãi suất không kỳ hạn cao nhất của 4 ngân hàng thương mại nhà nước công bố tại thời điểm đó theo đúng quy định của Điều 97 Bộ luật Lao động 2019.</w:t>
      </w:r>
    </w:p>
    <w:p>
      <w:r>
        <w:br w:type="page"/>
      </w:r>
    </w:p>
    <w:p>
      <w:pPr>
        <w:keepNext/>
        <w:spacing w:before="240" w:after="80"/>
      </w:pPr>
      <w:r>
        <w:rPr>
          <w:rFonts w:ascii="Calibri" w:hAnsi="Calibri"/>
          <w:b/>
          <w:i w:val="0"/>
          <w:color w:val="2F5496"/>
          <w:sz w:val="32"/>
        </w:rPr>
        <w:t>CHƯƠNG III: YÊU CẦU QUẢN LÝ HỒ SƠ LAO ĐỘNG BẮT BUỘC</w:t>
      </w:r>
    </w:p>
    <w:p>
      <w:pPr>
        <w:keepNext/>
        <w:spacing w:before="240" w:after="80"/>
      </w:pPr>
      <w:r>
        <w:rPr>
          <w:rFonts w:ascii="Calibri" w:hAnsi="Calibri"/>
          <w:b/>
          <w:i w:val="0"/>
          <w:color w:val="4472C4"/>
          <w:sz w:val="26"/>
        </w:rPr>
        <w:t>1. Quản lý Sổ quản lý lao động điện tử tự động</w:t>
      </w:r>
    </w:p>
    <w:p>
      <w:r>
        <w:t>Để tránh bị xử phạt vi phạm hành chính từ 10.000.000 đến 20.000.000 VND đối với lỗi không lập sổ quản lý lao động theo Nghị định 283/2026/NĐ-CP, module Nhân sự của phần mềm bắt buộc phải tự động kết xuất Sổ quản lý lao động điện tử tích hợp đầy đủ 20 thông tin quy định tại Khoản 2 Điều 3 Nghị định 145/2020/NĐ-CP, bao gồm:</w:t>
      </w:r>
    </w:p>
    <w:p>
      <w:pPr>
        <w:pStyle w:val="ListBullet"/>
      </w:pPr>
      <w:r>
        <w:t>Họ và tên, Giới tính, Ngày sinh, Quốc tịch, Nơi cư trú, Số định danh cá nhân (CCCD/Hộ chiếu).</w:t>
      </w:r>
    </w:p>
    <w:p>
      <w:pPr>
        <w:pStyle w:val="ListBullet"/>
      </w:pPr>
      <w:r>
        <w:t>Trình độ chuyên môn kỹ thuật.</w:t>
      </w:r>
    </w:p>
    <w:p>
      <w:pPr>
        <w:pStyle w:val="ListBullet"/>
      </w:pPr>
      <w:r>
        <w:t>Loại hợp đồng lao động đã giao kết, Thời điểm bắt đầu có hiệu lực và thời điểm chấm dứt hợp đồng.</w:t>
      </w:r>
    </w:p>
    <w:p>
      <w:pPr>
        <w:pStyle w:val="ListBullet"/>
      </w:pPr>
      <w:r>
        <w:t>Vị trí việc làm, Chức danh công việc, Mức lương thỏa thuận đóng BHXH.</w:t>
      </w:r>
    </w:p>
    <w:p>
      <w:pPr>
        <w:pStyle w:val="ListBullet"/>
      </w:pPr>
      <w:r>
        <w:t>Tình hình tham gia bảo hiểm xã hội bắt buộc (BHXH, BHYT, BHTN) hằng tháng.</w:t>
      </w:r>
    </w:p>
    <w:p>
      <w:pPr>
        <w:pStyle w:val="ListBullet"/>
      </w:pPr>
      <w:r>
        <w:t>Số giờ làm thêm lũy kế trong năm (cảnh báo đỏ nếu vượt quá giới hạn 200 hoặc 300 giờ/năm theo luật định).</w:t>
      </w:r>
    </w:p>
    <w:p>
      <w:pPr>
        <w:keepNext/>
        <w:spacing w:before="240" w:after="80"/>
      </w:pPr>
      <w:r>
        <w:rPr>
          <w:rFonts w:ascii="Calibri" w:hAnsi="Calibri"/>
          <w:b/>
          <w:i w:val="0"/>
          <w:color w:val="4472C4"/>
          <w:sz w:val="26"/>
        </w:rPr>
        <w:t>2. Quản lý loại hợp đồng và thời hạn thử việc</w:t>
      </w:r>
    </w:p>
    <w:p>
      <w:r>
        <w:t>Phần mềm hỗ trợ quản lý 03 loại hợp đồng lao động chính:</w:t>
      </w:r>
    </w:p>
    <w:p>
      <w:pPr>
        <w:pStyle w:val="ListBullet"/>
      </w:pPr>
      <w:r>
        <w:rPr>
          <w:b/>
        </w:rPr>
        <w:t xml:space="preserve">HĐLĐ xác định thời hạn: </w:t>
      </w:r>
      <w:r>
        <w:t>Thời hạn từ 12 tháng đến 36 tháng.</w:t>
      </w:r>
    </w:p>
    <w:p>
      <w:pPr>
        <w:pStyle w:val="ListBullet"/>
      </w:pPr>
      <w:r>
        <w:rPr>
          <w:b/>
        </w:rPr>
        <w:t xml:space="preserve">HĐLĐ không xác định thời hạn: </w:t>
      </w:r>
      <w:r>
        <w:t>Không xác định thời điểm chấm dứt.</w:t>
      </w:r>
    </w:p>
    <w:p>
      <w:pPr>
        <w:pStyle w:val="ListBullet"/>
      </w:pPr>
      <w:r>
        <w:rPr>
          <w:b/>
        </w:rPr>
        <w:t xml:space="preserve">Hợp đồng thử việc: </w:t>
      </w:r>
      <w:r>
        <w:t>Áp dụng tối đa 60 ngày đối với lao động chuyên môn kỹ thuật cao (văn phòng/quản lý) và tối đa 30 ngày đối với công nhân kỹ thuật trực tiếp. Mức lương thử việc tự động kiểm tra tối thiểu bằng 85% lương chính thức.</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DỰ ÁN PHẦN MỀM CHẤM CÔNG TIỀN LƯƠNG 2026 | TÀI LIỆU YÊU CẦU NGHIỆP VỤ (BRD)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i/>
      <w:color w:val="808080"/>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80808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