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2F5496"/>
          <w:sz w:val="40"/>
        </w:rPr>
        <w:t>TÀI LIỆU ĐẶC TẢ CHỨC NĂNG (FSD)</w:t>
        <w:br/>
        <w:t>THUẬT TOÁN CHẤM CÔNG &amp; TÍNH LƯƠNG TĂNG CA</w:t>
        <w:br/>
        <w:t>CHO CÔNG TY SẢN XUẤT ĐIỆN TỬ</w:t>
      </w:r>
    </w:p>
    <w:p>
      <w:pPr>
        <w:spacing w:after="2000"/>
        <w:jc w:val="center"/>
      </w:pPr>
      <w:r>
        <w:rPr>
          <w:rFonts w:ascii="Calibri" w:hAnsi="Calibri"/>
          <w:b w:val="0"/>
          <w:i/>
          <w:color w:val="808080"/>
          <w:sz w:val="24"/>
        </w:rPr>
        <w:t>Phiên bản: 1.0 (Áp dụng cho lập trình viên và kiểm thử viên)</w:t>
        <w:br/>
        <w:t>Chuẩn hóa hệ số OT theo Nghị định 145/2020/NĐ-CP</w:t>
      </w:r>
    </w:p>
    <w:p>
      <w:pPr>
        <w:jc w:val="left"/>
      </w:pPr>
      <w:r>
        <w:rPr>
          <w:rFonts w:ascii="Calibri" w:hAnsi="Calibri"/>
          <w:b w:val="0"/>
          <w:i w:val="0"/>
          <w:color w:val="404040"/>
          <w:sz w:val="22"/>
        </w:rPr>
        <w:t>Đơn vị thiết kế giải pháp: Tổ kiến trúc phần mềm</w:t>
        <w:br/>
        <w:t>Ngày cập nhật: 26/08/2026</w:t>
      </w:r>
    </w:p>
    <w:p>
      <w:r>
        <w:br w:type="page"/>
      </w:r>
    </w:p>
    <w:p>
      <w:pPr>
        <w:keepNext/>
        <w:spacing w:before="240" w:after="80"/>
      </w:pPr>
      <w:r>
        <w:rPr>
          <w:rFonts w:ascii="Calibri" w:hAnsi="Calibri"/>
          <w:b/>
          <w:i w:val="0"/>
          <w:color w:val="2F5496"/>
          <w:sz w:val="32"/>
        </w:rPr>
        <w:t>CHƯƠNG I: THUẬT TOÁN XỬ LÝ DỮ LIỆU CHẤM CÔNG THÔ</w:t>
      </w:r>
    </w:p>
    <w:p>
      <w:pPr>
        <w:keepNext/>
        <w:spacing w:before="240" w:after="80"/>
      </w:pPr>
      <w:r>
        <w:rPr>
          <w:rFonts w:ascii="Calibri" w:hAnsi="Calibri"/>
          <w:b/>
          <w:i w:val="0"/>
          <w:color w:val="4472C4"/>
          <w:sz w:val="26"/>
        </w:rPr>
        <w:t>1. Cơ chế ghép cặp Vào/Ra (Check-In/Check-Out Pairing)</w:t>
      </w:r>
    </w:p>
    <w:p>
      <w:r>
        <w:t>Hệ thống tiếp nhận file dữ liệu log quẹt thẻ thô từ máy chấm công. Do công nhân thường quẹt thẻ nhiều lần liên tiếp khi đi qua cổng xưởng sản xuất, thuật toán bắt buộc phải xử lý loại bỏ các lượt quẹt trùng lắp theo cơ chế sau:</w:t>
      </w:r>
    </w:p>
    <w:p>
      <w:pPr>
        <w:pStyle w:val="ListBullet"/>
      </w:pPr>
      <w:r>
        <w:rPr>
          <w:b/>
        </w:rPr>
        <w:t xml:space="preserve">Khử quẹt trùng trong khoảng thời gian ngắn (Double Check-In Filter): </w:t>
      </w:r>
      <w:r>
        <w:t>Nếu có nhiều lượt quẹt thẻ của cùng 1 nhân sự trong vòng 05 phút, hệ thống chỉ ghi nhận lượt quẹt đầu tiên đối với ca Vào (Check-In) và lượt quẹt cuối cùng đối với ca Ra (Check-Out).</w:t>
      </w:r>
    </w:p>
    <w:p>
      <w:pPr>
        <w:pStyle w:val="ListBullet"/>
      </w:pPr>
      <w:r>
        <w:rPr>
          <w:b/>
        </w:rPr>
        <w:t xml:space="preserve">Cơ chế ghép cặp Vào/Ra tự động: </w:t>
      </w:r>
      <w:r>
        <w:t>Hệ thống tự động tìm kiếm lượt quẹt thẻ sớm nhất trong khung giờ Vào và lượt quẹt muộn nhất trong khung giờ Ra của ca làm việc đã được phân bổ để tạo thành một cặp công hoàn chỉnh. Nếu thiếu một trong hai lượt quẹt, hệ thống sẽ đánh dấu trạng thái ngoại lệ 'Lỗi quẹt thẻ (ERR)' và gửi cảnh báo về cổng ESS của công nhân để giải trình.</w:t>
      </w:r>
    </w:p>
    <w:p>
      <w:pPr>
        <w:keepNext/>
        <w:spacing w:before="240" w:after="80"/>
      </w:pPr>
      <w:r>
        <w:rPr>
          <w:rFonts w:ascii="Calibri" w:hAnsi="Calibri"/>
          <w:b/>
          <w:i w:val="0"/>
          <w:color w:val="4472C4"/>
          <w:sz w:val="26"/>
        </w:rPr>
        <w:t>2. Xử lý các trường hợp ngoại lệ công</w:t>
      </w:r>
    </w:p>
    <w:p>
      <w:r>
        <w:t>Phần mềm hỗ trợ quản lý các đơn giải trình và tự động sửa công sau khi đơn được phê duyệt hợp lệ:</w:t>
      </w:r>
    </w:p>
    <w:p>
      <w:pPr>
        <w:pStyle w:val="ListBullet"/>
      </w:pPr>
      <w:r>
        <w:rPr>
          <w:b/>
        </w:rPr>
        <w:t xml:space="preserve">Giải trình đi trễ, về sớm: </w:t>
      </w:r>
      <w:r>
        <w:t>Nếu đi trễ hoặc về sớm dưới 15 phút do lý do khách quan và được quản lý xưởng phê duyệt đơn giải trình trực tuyến, hệ thống sẽ tự động khôi phục ngày công tròn ca mà không trừ lương thời gian.</w:t>
      </w:r>
    </w:p>
    <w:p>
      <w:pPr>
        <w:pStyle w:val="ListBullet"/>
      </w:pPr>
      <w:r>
        <w:rPr>
          <w:b/>
        </w:rPr>
        <w:t xml:space="preserve">Đơn xin nghỉ phép và nghỉ chế độ: </w:t>
      </w:r>
      <w:r>
        <w:t>Tự động điền ký hiệu công tương ứng vào bảng chấm công tổng hợp tháng: Phép năm (Ph) hưởng nguyên lương; Nghỉ lễ (L) hưởng nguyên lương; Nghỉ ốm đau/thai sản (Ô/TS) hưởng chế độ BHXH.</w:t>
      </w:r>
    </w:p>
    <w:p>
      <w:r>
        <w:br w:type="page"/>
      </w:r>
    </w:p>
    <w:p>
      <w:pPr>
        <w:keepNext/>
        <w:spacing w:before="240" w:after="80"/>
      </w:pPr>
      <w:r>
        <w:rPr>
          <w:rFonts w:ascii="Calibri" w:hAnsi="Calibri"/>
          <w:b/>
          <w:i w:val="0"/>
          <w:color w:val="2F5496"/>
          <w:sz w:val="32"/>
        </w:rPr>
        <w:t>CHƯƠNG II: THUẬT TOÁN QUẢN LÝ CA KÍP SẢN XUẤT ĐẶC THÙ</w:t>
      </w:r>
    </w:p>
    <w:p>
      <w:pPr>
        <w:keepNext/>
        <w:spacing w:before="240" w:after="80"/>
      </w:pPr>
      <w:r>
        <w:rPr>
          <w:rFonts w:ascii="Calibri" w:hAnsi="Calibri"/>
          <w:b/>
          <w:i w:val="0"/>
          <w:color w:val="4472C4"/>
          <w:sz w:val="26"/>
        </w:rPr>
        <w:t>1. Chu kỳ xoay ca và nhận diện ca làm việc</w:t>
      </w:r>
    </w:p>
    <w:p>
      <w:r>
        <w:t>Khối sản xuất điện tử hoạt động 24/7 áp dụng chế độ 3 ca xoay vòng liên tục. Hệ thống cho phép cấu hình khung giờ chuẩn cho từng ca:</w:t>
      </w:r>
    </w:p>
    <w:p>
      <w:pPr>
        <w:pStyle w:val="ListBullet"/>
      </w:pPr>
      <w:r>
        <w:rPr>
          <w:b/>
        </w:rPr>
        <w:t xml:space="preserve">Ca A (Ca sáng): </w:t>
      </w:r>
      <w:r>
        <w:t>Từ 06:00 đến 14:00 (làm việc 8 tiếng, nghỉ giữa ca 30 phút tính vào giờ làm việc).</w:t>
      </w:r>
    </w:p>
    <w:p>
      <w:pPr>
        <w:pStyle w:val="ListBullet"/>
      </w:pPr>
      <w:r>
        <w:rPr>
          <w:b/>
        </w:rPr>
        <w:t xml:space="preserve">Ca B (Ca chiều): </w:t>
      </w:r>
      <w:r>
        <w:t>Từ 14:00 đến 22:00 (làm việc 8 tiếng, nghỉ giữa ca 30 phút tính vào giờ làm việc).</w:t>
      </w:r>
    </w:p>
    <w:p>
      <w:pPr>
        <w:pStyle w:val="ListBullet"/>
      </w:pPr>
      <w:r>
        <w:rPr>
          <w:b/>
        </w:rPr>
        <w:t xml:space="preserve">Ca C (Ca đêm): </w:t>
      </w:r>
      <w:r>
        <w:t>Từ 22:00 đến 06:00 sáng hôm sau (làm việc 8 tiếng, thời gian làm việc ca đêm bắt buộc được phụ cấp ít nhất bằng 30% lương ngày thường theo quy định Điều 98 BLLĐ 2019).</w:t>
      </w:r>
    </w:p>
    <w:p>
      <w:pPr>
        <w:keepNext/>
        <w:spacing w:before="240" w:after="80"/>
      </w:pPr>
      <w:r>
        <w:rPr>
          <w:rFonts w:ascii="Calibri" w:hAnsi="Calibri"/>
          <w:b/>
          <w:i w:val="0"/>
          <w:color w:val="4472C4"/>
          <w:sz w:val="26"/>
        </w:rPr>
        <w:t>2. Thuật toán xử lý Ca đêm bắc cầu qua ngày hôm sau</w:t>
      </w:r>
    </w:p>
    <w:p>
      <w:r>
        <w:t>Đối với Ca C (bắt đầu lúc 22:00 ngày hôm trước và kết thúc lúc 06:00 ngày hôm sau), hệ thống áp dụng thuật toán 'Ca đêm bắc cầu' để tránh việc tách ngày công thành 2 ngày lẻ:</w:t>
      </w:r>
    </w:p>
    <w:p>
      <w:pPr>
        <w:pStyle w:val="ListBullet"/>
      </w:pPr>
      <w:r>
        <w:rPr>
          <w:b/>
        </w:rPr>
        <w:t xml:space="preserve">Gán ngày công gốc: </w:t>
      </w:r>
      <w:r>
        <w:t>Toàn bộ giờ công của ca làm việc này (8 tiếng) và các giờ làm thêm tiếp nối (nếu có) sẽ được tính gộp và gán cho ngày bắt đầu ca (ngày T), không tách một phần sang ngày T+1.</w:t>
      </w:r>
    </w:p>
    <w:p>
      <w:pPr>
        <w:pStyle w:val="ListBullet"/>
      </w:pPr>
      <w:r>
        <w:rPr>
          <w:b/>
        </w:rPr>
        <w:t xml:space="preserve">Cách phân loại giờ đêm: </w:t>
      </w:r>
      <w:r>
        <w:t>Hệ thống tự động tách dải giờ làm việc từ 22:00 đến 06:00 sáng hôm sau để nhân hệ số lương làm việc ban đêm (ngày thường là +30% phụ cấp ca đêm). Các khung giờ từ 06:00 đến 22:00 được ghi nhận là giờ làm việc ban ngày bình thường.</w:t>
      </w:r>
    </w:p>
    <w:p>
      <w:r>
        <w:br w:type="page"/>
      </w:r>
    </w:p>
    <w:p>
      <w:pPr>
        <w:keepNext/>
        <w:spacing w:before="240" w:after="80"/>
      </w:pPr>
      <w:r>
        <w:rPr>
          <w:rFonts w:ascii="Calibri" w:hAnsi="Calibri"/>
          <w:b/>
          <w:i w:val="0"/>
          <w:color w:val="2F5496"/>
          <w:sz w:val="32"/>
        </w:rPr>
        <w:t>CHƯƠNG III: THUẬT TOÁN TÍNH TIỀN LƯƠNG TĂNG CA (OT) ĐA TẦNG LŨY TIẾN</w:t>
      </w:r>
    </w:p>
    <w:p>
      <w:pPr>
        <w:keepNext/>
        <w:spacing w:before="240" w:after="80"/>
      </w:pPr>
      <w:r>
        <w:rPr>
          <w:rFonts w:ascii="Calibri" w:hAnsi="Calibri"/>
          <w:b/>
          <w:i w:val="0"/>
          <w:color w:val="4472C4"/>
          <w:sz w:val="26"/>
        </w:rPr>
        <w:t>1. Công thức tính lương làm thêm ca đêm tích hợp theo Nghị định 145/2020/NĐ-CP</w:t>
      </w:r>
    </w:p>
    <w:p>
      <w:r>
        <w:t>Để thiết lập chính xác công thức tính toán tiền lương tăng ca đêm (OT ca đêm), phần mềm lập trình dựa trên Điều 57 Nghị định 145/2020/NĐ-CP với công thức tích hợp đa tầng:</w:t>
      </w:r>
    </w:p>
    <w:p>
      <w:pPr>
        <w:jc w:val="center"/>
      </w:pPr>
      <w:r>
        <w:rPr>
          <w:rFonts w:ascii="Calibri" w:hAnsi="Calibri"/>
          <w:b/>
          <w:i/>
          <w:color w:val="C00000"/>
          <w:sz w:val="23"/>
        </w:rPr>
        <w:t>Lương OT ca đêm = [Lương giờ thực trả] x [Tỷ lệ OT ngày + 30% + (20% x Tỷ lệ ban ngày của loại ngày tương ứng)]</w:t>
      </w:r>
    </w:p>
    <w:p>
      <w:pPr>
        <w:keepNext/>
        <w:spacing w:before="240" w:after="80"/>
      </w:pPr>
      <w:r>
        <w:rPr>
          <w:rFonts w:ascii="Calibri" w:hAnsi="Calibri"/>
          <w:b/>
          <w:i w:val="0"/>
          <w:color w:val="4472C4"/>
          <w:sz w:val="26"/>
        </w:rPr>
        <w:t>2. Bảng ma trận tỷ lệ thanh toán lương làm thêm giờ (OT)</w:t>
      </w:r>
    </w:p>
    <w:p>
      <w:r>
        <w:t>Bảng ma trận hệ số quy đổi chi tiết áp dụng lập trình cho hệ thống để tự động nhân hệ số lương tương ứng: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2F5496"/>
            <w:tcMar>
              <w:top w:w="100" w:type="dxa"/>
              <w:bottom w:w="100" w:type="dxa"/>
              <w:left w:w="150" w:type="dxa"/>
              <w:right w:w="150" w:type="dxa"/>
            </w:tcMar>
          </w:tcPr>
          <w:p>
            <w:r>
              <w:rPr>
                <w:b/>
                <w:color w:val="FFFFFF"/>
              </w:rPr>
              <w:t>Loại ngày làm việc</w:t>
            </w:r>
          </w:p>
        </w:tc>
        <w:tc>
          <w:tcPr>
            <w:tcW w:type="dxa" w:w="2304"/>
            <w:shd w:val="clear" w:color="auto" w:fill="2F5496"/>
            <w:tcMar>
              <w:top w:w="100" w:type="dxa"/>
              <w:bottom w:w="100" w:type="dxa"/>
              <w:left w:w="150" w:type="dxa"/>
              <w:right w:w="150" w:type="dxa"/>
            </w:tcMar>
          </w:tcPr>
          <w:p>
            <w:r>
              <w:rPr>
                <w:b/>
                <w:color w:val="FFFFFF"/>
              </w:rPr>
              <w:t>Hệ số làm thêm BAN NGÀY</w:t>
            </w:r>
          </w:p>
        </w:tc>
        <w:tc>
          <w:tcPr>
            <w:tcW w:type="dxa" w:w="2304"/>
            <w:shd w:val="clear" w:color="auto" w:fill="2F5496"/>
            <w:tcMar>
              <w:top w:w="100" w:type="dxa"/>
              <w:bottom w:w="100" w:type="dxa"/>
              <w:left w:w="150" w:type="dxa"/>
              <w:right w:w="150" w:type="dxa"/>
            </w:tcMar>
          </w:tcPr>
          <w:p>
            <w:r>
              <w:rPr>
                <w:b/>
                <w:color w:val="FFFFFF"/>
              </w:rPr>
              <w:t>Hệ số làm việc BAN ĐÊM (ca kíp)</w:t>
            </w:r>
          </w:p>
        </w:tc>
        <w:tc>
          <w:tcPr>
            <w:tcW w:type="dxa" w:w="2304"/>
            <w:shd w:val="clear" w:color="auto" w:fill="2F5496"/>
            <w:tcMar>
              <w:top w:w="100" w:type="dxa"/>
              <w:bottom w:w="100" w:type="dxa"/>
              <w:left w:w="150" w:type="dxa"/>
              <w:right w:w="150" w:type="dxa"/>
            </w:tcMar>
          </w:tcPr>
          <w:p>
            <w:r>
              <w:rPr>
                <w:b/>
                <w:color w:val="FFFFFF"/>
              </w:rPr>
              <w:t>Hệ số làm thêm BAN ĐÊM (OT ca đêm)</w:t>
            </w:r>
          </w:p>
        </w:tc>
      </w:tr>
      <w:tr>
        <w:tc>
          <w:tcPr>
            <w:tcW w:type="dxa" w:w="2592"/>
            <w:tcMar>
              <w:top w:w="100" w:type="dxa"/>
              <w:bottom w:w="100" w:type="dxa"/>
              <w:left w:w="150" w:type="dxa"/>
              <w:right w:w="150" w:type="dxa"/>
            </w:tcMar>
          </w:tcPr>
          <w:p>
            <w:r>
              <w:t>Ngày làm việc thường</w:t>
            </w:r>
          </w:p>
        </w:tc>
        <w:tc>
          <w:tcPr>
            <w:tcW w:type="dxa" w:w="2304"/>
            <w:tcMar>
              <w:top w:w="100" w:type="dxa"/>
              <w:bottom w:w="100" w:type="dxa"/>
              <w:left w:w="150" w:type="dxa"/>
              <w:right w:w="150" w:type="dxa"/>
            </w:tcMar>
          </w:tcPr>
          <w:p>
            <w:r>
              <w:t>150% (Tiền lương giờ x 1.5)</w:t>
            </w:r>
          </w:p>
        </w:tc>
        <w:tc>
          <w:tcPr>
            <w:tcW w:type="dxa" w:w="2304"/>
            <w:tcMar>
              <w:top w:w="100" w:type="dxa"/>
              <w:bottom w:w="100" w:type="dxa"/>
              <w:left w:w="150" w:type="dxa"/>
              <w:right w:w="150" w:type="dxa"/>
            </w:tcMar>
          </w:tcPr>
          <w:p>
            <w:r>
              <w:t>130% (Lương giờ x 1.3)</w:t>
            </w:r>
          </w:p>
        </w:tc>
        <w:tc>
          <w:tcPr>
            <w:tcW w:type="dxa" w:w="2304"/>
            <w:tcMar>
              <w:top w:w="100" w:type="dxa"/>
              <w:bottom w:w="100" w:type="dxa"/>
              <w:left w:w="150" w:type="dxa"/>
              <w:right w:w="150" w:type="dxa"/>
            </w:tcMar>
          </w:tcPr>
          <w:p>
            <w:r>
              <w:t>200% (Không làm thêm ngày trước đó)</w:t>
              <w:br/>
              <w:t>210% (Có làm thêm ngày trước đó)</w:t>
            </w:r>
          </w:p>
        </w:tc>
      </w:tr>
      <w:tr>
        <w:tc>
          <w:tcPr>
            <w:tcW w:type="dxa" w:w="2592"/>
            <w:tcMar>
              <w:top w:w="100" w:type="dxa"/>
              <w:bottom w:w="100" w:type="dxa"/>
              <w:left w:w="150" w:type="dxa"/>
              <w:right w:w="150" w:type="dxa"/>
            </w:tcMar>
            <w:shd w:val="clear" w:color="auto" w:fill="F2F2F2"/>
          </w:tcPr>
          <w:p>
            <w:r>
              <w:t>Ngày nghỉ hằng tuần (Chủ nhật)</w:t>
            </w:r>
          </w:p>
        </w:tc>
        <w:tc>
          <w:tcPr>
            <w:tcW w:type="dxa" w:w="2304"/>
            <w:tcMar>
              <w:top w:w="100" w:type="dxa"/>
              <w:bottom w:w="100" w:type="dxa"/>
              <w:left w:w="150" w:type="dxa"/>
              <w:right w:w="150" w:type="dxa"/>
            </w:tcMar>
            <w:shd w:val="clear" w:color="auto" w:fill="F2F2F2"/>
          </w:tcPr>
          <w:p>
            <w:r>
              <w:t>200% (Tiền lương giờ x 2.0)</w:t>
            </w:r>
          </w:p>
        </w:tc>
        <w:tc>
          <w:tcPr>
            <w:tcW w:type="dxa" w:w="2304"/>
            <w:tcMar>
              <w:top w:w="100" w:type="dxa"/>
              <w:bottom w:w="100" w:type="dxa"/>
              <w:left w:w="150" w:type="dxa"/>
              <w:right w:w="150" w:type="dxa"/>
            </w:tcMar>
            <w:shd w:val="clear" w:color="auto" w:fill="F2F2F2"/>
          </w:tcPr>
          <w:p>
            <w:r>
              <w:t>130% (Lương giờ x 1.3)</w:t>
            </w:r>
          </w:p>
        </w:tc>
        <w:tc>
          <w:tcPr>
            <w:tcW w:type="dxa" w:w="2304"/>
            <w:tcMar>
              <w:top w:w="100" w:type="dxa"/>
              <w:bottom w:w="100" w:type="dxa"/>
              <w:left w:w="150" w:type="dxa"/>
              <w:right w:w="150" w:type="dxa"/>
            </w:tcMar>
            <w:shd w:val="clear" w:color="auto" w:fill="F2F2F2"/>
          </w:tcPr>
          <w:p>
            <w:r>
              <w:t>270% (Lương giờ x 2.7)</w:t>
            </w:r>
          </w:p>
        </w:tc>
      </w:tr>
      <w:tr>
        <w:tc>
          <w:tcPr>
            <w:tcW w:type="dxa" w:w="2592"/>
            <w:tcMar>
              <w:top w:w="100" w:type="dxa"/>
              <w:bottom w:w="100" w:type="dxa"/>
              <w:left w:w="150" w:type="dxa"/>
              <w:right w:w="150" w:type="dxa"/>
            </w:tcMar>
          </w:tcPr>
          <w:p>
            <w:r>
              <w:t>Ngày nghỉ lễ, Tết, ngày nghỉ hưởng lương</w:t>
            </w:r>
          </w:p>
        </w:tc>
        <w:tc>
          <w:tcPr>
            <w:tcW w:type="dxa" w:w="2304"/>
            <w:tcMar>
              <w:top w:w="100" w:type="dxa"/>
              <w:bottom w:w="100" w:type="dxa"/>
              <w:left w:w="150" w:type="dxa"/>
              <w:right w:w="150" w:type="dxa"/>
            </w:tcMar>
          </w:tcPr>
          <w:p>
            <w:r>
              <w:t>300% (Tiền lương giờ x 3.0)</w:t>
            </w:r>
          </w:p>
        </w:tc>
        <w:tc>
          <w:tcPr>
            <w:tcW w:type="dxa" w:w="2304"/>
            <w:tcMar>
              <w:top w:w="100" w:type="dxa"/>
              <w:bottom w:w="100" w:type="dxa"/>
              <w:left w:w="150" w:type="dxa"/>
              <w:right w:w="150" w:type="dxa"/>
            </w:tcMar>
          </w:tcPr>
          <w:p>
            <w:r>
              <w:t>130% (Lương giờ x 1.3)</w:t>
            </w:r>
          </w:p>
        </w:tc>
        <w:tc>
          <w:tcPr>
            <w:tcW w:type="dxa" w:w="2304"/>
            <w:tcMar>
              <w:top w:w="100" w:type="dxa"/>
              <w:bottom w:w="100" w:type="dxa"/>
              <w:left w:w="150" w:type="dxa"/>
              <w:right w:w="150" w:type="dxa"/>
            </w:tcMar>
          </w:tcPr>
          <w:p>
            <w:r>
              <w:t>390% (Lương giờ x 3.9)</w:t>
            </w:r>
          </w:p>
        </w:tc>
      </w:tr>
      <w:tr>
        <w:tc>
          <w:tcPr>
            <w:tcW w:type="dxa" w:w="2592"/>
          </w:tcPr>
          <w:p/>
        </w:tc>
        <w:tc>
          <w:tcPr>
            <w:tcW w:type="dxa" w:w="2304"/>
          </w:tcPr>
          <w:p/>
        </w:tc>
        <w:tc>
          <w:tcPr>
            <w:tcW w:type="dxa" w:w="2304"/>
          </w:tcPr>
          <w:p/>
        </w:tc>
        <w:tc>
          <w:tcPr>
            <w:tcW w:type="dxa" w:w="2304"/>
          </w:tcPr>
          <w:p/>
        </w:tc>
      </w:tr>
    </w:tbl>
    <w:p>
      <w:pPr>
        <w:keepNext/>
        <w:spacing w:before="240" w:after="80"/>
      </w:pPr>
      <w:r>
        <w:rPr>
          <w:rFonts w:ascii="Calibri" w:hAnsi="Calibri"/>
          <w:b/>
          <w:i w:val="0"/>
          <w:color w:val="2F5496"/>
          <w:sz w:val="32"/>
        </w:rPr>
        <w:t>CHƯƠNG IV: QUY TRÌNH PHÊ DUYỆT ĐƠN TỰ ĐỘNG (WORKFLOW)</w:t>
      </w:r>
    </w:p>
    <w:p>
      <w:pPr>
        <w:keepNext/>
        <w:spacing w:before="240" w:after="80"/>
      </w:pPr>
      <w:r>
        <w:rPr>
          <w:rFonts w:ascii="Calibri" w:hAnsi="Calibri"/>
          <w:b/>
          <w:i w:val="0"/>
          <w:color w:val="4472C4"/>
          <w:sz w:val="26"/>
        </w:rPr>
        <w:t>1. Luồng duyệt đăng ký tăng ca (OT Approval Flow)</w:t>
      </w:r>
    </w:p>
    <w:p>
      <w:r>
        <w:t>Công nhân trực tiếp đăng ký làm thêm giờ trực tiếp trên cổng ESS, phần mềm rẽ nhánh xử lý phê duyệt như sau:</w:t>
      </w:r>
    </w:p>
    <w:p>
      <w:pPr>
        <w:pStyle w:val="ListBullet"/>
      </w:pPr>
      <w:r>
        <w:rPr>
          <w:b/>
        </w:rPr>
        <w:t xml:space="preserve">Đăng ký OT thường ngày (&lt; 2 giờ/ngày): </w:t>
      </w:r>
      <w:r>
        <w:t>Chuyển thông báo trực tiếp đến Quản lý phân xưởng (D3) duyệt. Sau khi duyệt, hệ thống tự động lưu trữ cấu hình chấm công ngoài giờ.</w:t>
      </w:r>
    </w:p>
    <w:p>
      <w:pPr>
        <w:pStyle w:val="ListBullet"/>
      </w:pPr>
      <w:r>
        <w:rPr>
          <w:b/>
        </w:rPr>
        <w:t xml:space="preserve">Đăng ký OT khẩn cấp hoặc vượt giờ (&gt; 3 giờ/ngày hoặc ngày Chủ nhật): </w:t>
      </w:r>
      <w:r>
        <w:t>Cần quy trình duyệt 2 cấp: Cấp 1 (Quản lý phân xưởng duyệt sơ bộ), Cấp 2 (Tự động chuyển lên Trưởng phòng Nhân sự phê duyệt cuối cùng). Nếu quá 12 tiếng không được duyệt, đơn tự động hủy và thông báo về cho nhân sự đăng ký lại.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DỰ ÁN PHẦN MỀM CHẤM CÔNG TIỀN LƯƠNG 2026 | TÀI LIỆU ĐẶC TẢ CHỨC NĂNG (FSD)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