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Calibri" w:hAnsi="Calibri"/>
          <w:b/>
          <w:i w:val="0"/>
          <w:color w:val="2F5496"/>
          <w:sz w:val="40"/>
        </w:rPr>
        <w:t>TÀI LIỆU ĐẶC TẢ TÍCH HỢP HỆ THỐNG</w:t>
        <w:br/>
        <w:t>BẢO MẬT &amp; YÊU CẦU PHI CHỨC NĂNG</w:t>
      </w:r>
    </w:p>
    <w:p>
      <w:pPr>
        <w:spacing w:after="2000"/>
        <w:jc w:val="center"/>
      </w:pPr>
      <w:r>
        <w:rPr>
          <w:rFonts w:ascii="Calibri" w:hAnsi="Calibri"/>
          <w:b w:val="0"/>
          <w:i/>
          <w:color w:val="808080"/>
          <w:sz w:val="24"/>
        </w:rPr>
        <w:t>Phiên bản: 1.0 (Áp dụng cho kỹ sư hệ thống và chuyên gia an toàn thông tin)</w:t>
        <w:br/>
        <w:t>Tuân thủ Nghị định 13/2023/NĐ-CP về Bảo vệ dữ liệu cá nhân</w:t>
      </w:r>
    </w:p>
    <w:p>
      <w:pPr>
        <w:jc w:val="left"/>
      </w:pPr>
      <w:r>
        <w:rPr>
          <w:rFonts w:ascii="Calibri" w:hAnsi="Calibri"/>
          <w:b w:val="0"/>
          <w:i w:val="0"/>
          <w:color w:val="404040"/>
          <w:sz w:val="22"/>
        </w:rPr>
        <w:t>Đơn vị thiết kế hạ tầng: Ban công nghệ thông tin công ty</w:t>
        <w:br/>
        <w:t>Ngày lập: 26/08/2026</w:t>
      </w:r>
    </w:p>
    <w:p>
      <w:r>
        <w:br w:type="page"/>
      </w:r>
    </w:p>
    <w:p>
      <w:pPr>
        <w:keepNext/>
        <w:spacing w:before="240" w:after="80"/>
      </w:pPr>
      <w:r>
        <w:rPr>
          <w:rFonts w:ascii="Calibri" w:hAnsi="Calibri"/>
          <w:b/>
          <w:i w:val="0"/>
          <w:color w:val="2F5496"/>
          <w:sz w:val="32"/>
        </w:rPr>
        <w:t>CHƯƠNG I: ĐẶC TẢ TÍCH HỢP THU THẬP DỮ LIỆU CHẤM CÔNG</w:t>
      </w:r>
    </w:p>
    <w:p>
      <w:pPr>
        <w:keepNext/>
        <w:spacing w:before="240" w:after="80"/>
      </w:pPr>
      <w:r>
        <w:rPr>
          <w:rFonts w:ascii="Calibri" w:hAnsi="Calibri"/>
          <w:b/>
          <w:i w:val="0"/>
          <w:color w:val="4472C4"/>
          <w:sz w:val="26"/>
        </w:rPr>
        <w:t>1. Phương thức kết nối máy chấm công (Hardware Integration)</w:t>
      </w:r>
    </w:p>
    <w:p>
      <w:r>
        <w:t>Hệ thống kết nối trực tiếp với toàn bộ các máy chấm công vân tay/nhận diện khuôn mặt (FaceID) phân bổ tại xưởng sản xuất và cổng ra vào nhà máy thông qua các phương thức tự động hóa:</w:t>
      </w:r>
    </w:p>
    <w:p>
      <w:pPr>
        <w:pStyle w:val="ListBullet"/>
      </w:pPr>
      <w:r>
        <w:rPr>
          <w:b/>
        </w:rPr>
        <w:t xml:space="preserve">Kết nối qua API/SDK phần cứng: </w:t>
      </w:r>
      <w:r>
        <w:t>Phần mềm cài đặt dịch vụ Windows Service / Linux Daemon chạy ngầm liên tục gửi yêu cầu kéo dữ liệu sự kiện quẹt thẻ (Transaction Logs) thời gian thực về máy chủ cơ sở dữ liệu qua giao thức TCP/IP.</w:t>
      </w:r>
    </w:p>
    <w:p>
      <w:pPr>
        <w:pStyle w:val="ListBullet"/>
      </w:pPr>
      <w:r>
        <w:rPr>
          <w:b/>
        </w:rPr>
        <w:t xml:space="preserve">Cơ chế đồng bộ định kỳ dự phòng: </w:t>
      </w:r>
      <w:r>
        <w:t>Trong trường hợp mất kết nối mạng cục bộ, máy chấm công tự động lưu dữ liệu thô vào bộ nhớ trong. Khi kết nối Internet khôi phục, hệ thống tự động đồng bộ bù dữ liệu của khoảng thời gian gián đoạn, đảm bảo không bỏ sót dữ liệu chấm công.</w:t>
      </w:r>
    </w:p>
    <w:p>
      <w:pPr>
        <w:keepNext/>
        <w:spacing w:before="240" w:after="80"/>
      </w:pPr>
      <w:r>
        <w:rPr>
          <w:rFonts w:ascii="Calibri" w:hAnsi="Calibri"/>
          <w:b/>
          <w:i w:val="0"/>
          <w:color w:val="4472C4"/>
          <w:sz w:val="26"/>
        </w:rPr>
        <w:t>2. Định dạng tệp tin log chấm công thô tiêu chuẩn</w:t>
      </w:r>
    </w:p>
    <w:p>
      <w:r>
        <w:t>Hỗ trợ tính năng import file thủ công (.csv hoặc .txt) đối với các dòng máy chấm công đời cũ theo cấu trúc định dạng chuẩn hóa sau:</w:t>
      </w:r>
    </w:p>
    <w:p>
      <w:pPr>
        <w:jc w:val="center"/>
      </w:pPr>
      <w:r>
        <w:rPr>
          <w:rFonts w:ascii="Calibri" w:hAnsi="Calibri"/>
          <w:b w:val="0"/>
          <w:i/>
          <w:color w:val="800080"/>
          <w:sz w:val="21"/>
        </w:rPr>
        <w:t>[Mã nhân viên],[Ngày quẹt (YYYY-MM-DD)],[Giờ quẹt (HH:MM:SS)],[Mã máy chấm công],[Hình thức quẹt (Vào/Ra/Tự động)]</w:t>
      </w:r>
    </w:p>
    <w:p>
      <w:r>
        <w:br w:type="page"/>
      </w:r>
    </w:p>
    <w:p>
      <w:pPr>
        <w:keepNext/>
        <w:spacing w:before="240" w:after="80"/>
      </w:pPr>
      <w:r>
        <w:rPr>
          <w:rFonts w:ascii="Calibri" w:hAnsi="Calibri"/>
          <w:b/>
          <w:i w:val="0"/>
          <w:color w:val="2F5496"/>
          <w:sz w:val="32"/>
        </w:rPr>
        <w:t>CHƯƠNG II: ĐẶC TẢ KẾT XUẤT THANH TOÁN NGÂN HÀNG &amp; LIÊN KẾT ERP</w:t>
      </w:r>
    </w:p>
    <w:p>
      <w:pPr>
        <w:keepNext/>
        <w:spacing w:before="240" w:after="80"/>
      </w:pPr>
      <w:r>
        <w:rPr>
          <w:rFonts w:ascii="Calibri" w:hAnsi="Calibri"/>
          <w:b/>
          <w:i w:val="0"/>
          <w:color w:val="4472C4"/>
          <w:sz w:val="26"/>
        </w:rPr>
        <w:t>1. Tự động hóa chi trả lương qua ngân hàng (Bank Hub Integration)</w:t>
      </w:r>
    </w:p>
    <w:p>
      <w:r>
        <w:t>Để nâng cao tốc độ chi trả lương cho hàng trăm lao động và loại bỏ lỗi thao tác thủ công, phần mềm hỗ trợ kết xuất tệp tin lệnh chi lương tự động tương thích định dạng tệp Bank Hub của các ngân hàng thương mại lớn tại Việt Nam:</w:t>
      </w:r>
    </w:p>
    <w:p>
      <w:pPr>
        <w:pStyle w:val="ListBullet"/>
      </w:pPr>
      <w:r>
        <w:rPr>
          <w:b/>
        </w:rPr>
        <w:t xml:space="preserve">Mẫu kết xuất Bank Hub chuẩn: </w:t>
      </w:r>
      <w:r>
        <w:t>Chương trình xuất ra file Excel mã hóa có cấu trúc cột cố định bao gồm: Số tài khoản thụ hưởng, Tên người thụ hưởng, Số tiền lương thực nhận (Net salary), Mã ngân hàng nhận, và Nội dung chi trả ('[Mã nhân viên] Chuyển tiền lương tháng MM/YYYY').</w:t>
      </w:r>
    </w:p>
    <w:p>
      <w:pPr>
        <w:pStyle w:val="ListBullet"/>
      </w:pPr>
      <w:r>
        <w:rPr>
          <w:b/>
        </w:rPr>
        <w:t xml:space="preserve">Về phí chuyển tiền qua tài khoản ngân hàng: </w:t>
      </w:r>
      <w:r>
        <w:t>Hệ thống cấu hình mặc định người sử dụng lao động chịu mọi khoản phí chuyển tiền phát sinh khi thực hiện chi trả lương qua ngân hàng, người lao động được nhận trọn vẹn số tiền lương thực trả (Net salary) theo quy định của Khoản 2 Điều 96 Bộ luật Lao động 2019.</w:t>
      </w:r>
    </w:p>
    <w:p>
      <w:pPr>
        <w:keepNext/>
        <w:spacing w:before="240" w:after="80"/>
      </w:pPr>
      <w:r>
        <w:rPr>
          <w:rFonts w:ascii="Calibri" w:hAnsi="Calibri"/>
          <w:b/>
          <w:i w:val="0"/>
          <w:color w:val="4472C4"/>
          <w:sz w:val="26"/>
        </w:rPr>
        <w:t>2. Đẩy bút toán chi phí lương tự động sang hệ thống kế toán/ERP</w:t>
      </w:r>
    </w:p>
    <w:p>
      <w:r>
        <w:t>Sau khi Kế toán trưởng và Ban Giám đốc duyệt khóa bảng thanh toán tiền lương tháng, phần mềm tự động xuất hóa đơn hạch toán và đẩy dữ liệu kế toán sang các phần mềm kế toán ERP (như MISA, SAP, Oracle) thông qua kết nối API:</w:t>
      </w:r>
    </w:p>
    <w:p>
      <w:pPr>
        <w:pStyle w:val="ListBullet"/>
      </w:pPr>
      <w:r>
        <w:rPr>
          <w:b/>
        </w:rPr>
        <w:t xml:space="preserve">Hạch toán theo Trung tâm chi phí (Cost Center): </w:t>
      </w:r>
      <w:r>
        <w:t>Hệ thống tự động phân loại chi phí nhân công trực tiếp (tài khoản kế toán Nợ TK 622) đối với công nhân sản xuất tại xưởng và chi phí quản lý doanh nghiệp (Nợ TK 642) đối với khối văn phòng để hạch toán chính xác giá thành sản phẩm.</w:t>
      </w:r>
    </w:p>
    <w:p>
      <w:r>
        <w:br w:type="page"/>
      </w:r>
    </w:p>
    <w:p>
      <w:pPr>
        <w:keepNext/>
        <w:spacing w:before="240" w:after="80"/>
      </w:pPr>
      <w:r>
        <w:rPr>
          <w:rFonts w:ascii="Calibri" w:hAnsi="Calibri"/>
          <w:b/>
          <w:i w:val="0"/>
          <w:color w:val="2F5496"/>
          <w:sz w:val="32"/>
        </w:rPr>
        <w:t>CHƯƠNG III: YÊU CẦU BẢO MẬT &amp; NHẬT KÝ KIỂM TOÁN (AUDIT LOG)</w:t>
      </w:r>
    </w:p>
    <w:p>
      <w:pPr>
        <w:keepNext/>
        <w:spacing w:before="240" w:after="80"/>
      </w:pPr>
      <w:r>
        <w:rPr>
          <w:rFonts w:ascii="Calibri" w:hAnsi="Calibri"/>
          <w:b/>
          <w:i w:val="0"/>
          <w:color w:val="4472C4"/>
          <w:sz w:val="26"/>
        </w:rPr>
        <w:t>1. Bảo vệ dữ liệu cá nhân (Tuân thủ Nghị định 13/2023/NĐ-CP)</w:t>
      </w:r>
    </w:p>
    <w:p>
      <w:r>
        <w:t>Tiền lương và thông tin nhân thân CCCD là dữ liệu cá nhân nhạy cảm theo quy định pháp luật Việt Nam. Hệ thống thiết lập các rào cản bảo mật nghiêm ngặt để bảo vệ an toàn thông tin:</w:t>
      </w:r>
    </w:p>
    <w:p>
      <w:pPr>
        <w:pStyle w:val="ListBullet"/>
      </w:pPr>
      <w:r>
        <w:rPr>
          <w:b/>
        </w:rPr>
        <w:t xml:space="preserve">Mã hóa dữ liệu nhạy cảm: </w:t>
      </w:r>
      <w:r>
        <w:t>Toàn bộ các trường dữ liệu liên quan đến số CCCD, số tài khoản ngân hàng, mức lương đóng bảo hiểm, mức lương thực nhận bắt buộc phải được mã hóa ở mức cơ sở dữ liệu (Database Encryption) sử dụng thuật toán AES-256.</w:t>
      </w:r>
    </w:p>
    <w:p>
      <w:pPr>
        <w:pStyle w:val="ListBullet"/>
      </w:pPr>
      <w:r>
        <w:rPr>
          <w:b/>
        </w:rPr>
        <w:t xml:space="preserve">Mật khẩu dùng một lần (OTP) khi xem Phiếu lương: </w:t>
      </w:r>
      <w:r>
        <w:t>Khi người lao động truy cập xem phiếu lương (Payslip) trên cổng ESS, hệ thống yêu cầu xác thực bằng mã OTP gửi về số điện thoại hoặc email đã đăng ký của cá nhân để ngăn chặn rò rỉ thông tin lương.</w:t>
      </w:r>
    </w:p>
    <w:p>
      <w:pPr>
        <w:keepNext/>
        <w:spacing w:before="240" w:after="80"/>
      </w:pPr>
      <w:r>
        <w:rPr>
          <w:rFonts w:ascii="Calibri" w:hAnsi="Calibri"/>
          <w:b/>
          <w:i w:val="0"/>
          <w:color w:val="4472C4"/>
          <w:sz w:val="26"/>
        </w:rPr>
        <w:t>2. Hệ thống Nhật ký kiểm toán (Audit Log) bắt buộc</w:t>
      </w:r>
    </w:p>
    <w:p>
      <w:r>
        <w:t>Nhằm phục vụ công tác thanh kiểm tra của cơ quan quản lý lao động và chống gian lận nội bộ, hệ thống tự động ghi nhận nhật ký kiểm toán không thể xóa hoặc sửa đối với mọi thay đổi trên bảng công và bảng lương:</w:t>
      </w:r>
    </w:p>
    <w:p>
      <w:pPr>
        <w:pStyle w:val="ListBullet"/>
      </w:pPr>
      <w:r>
        <w:rPr>
          <w:b/>
        </w:rPr>
        <w:t xml:space="preserve">Ghi nhận lịch sử chỉnh sửa chi tiết: </w:t>
      </w:r>
      <w:r>
        <w:t>Mỗi hành động sửa ngày công chấm công, thay đổi hệ số lương, tăng ca hoặc điều chỉnh số tiền khấu trừ của nhân viên bắt buộc phải ghi nhận đầy đủ: Mã người thực hiện, Thời điểm thay đổi, Giá trị cũ (Old Value), Giá trị mới (New Value), Địa chỉ IP của máy thực hiện, và Lý do chỉnh sửa.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DỰ ÁN PHẦN MỀM CHẤM CÔNG TIỀN LƯƠNG 2026 | ĐẶC TẢ TÍCH HỢP HỆ THỐNG &amp; BẢO MẬT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i/>
      <w:color w:val="808080"/>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80808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