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496"/>
          <w:sz w:val="36"/>
        </w:rPr>
        <w:t>CẨM NANG TUÂN THỦ PHÁP LÝ LAO ĐỘNG 2026</w:t>
        <w:br/>
      </w:r>
      <w:r>
        <w:rPr>
          <w:i/>
          <w:color w:val="595959"/>
          <w:sz w:val="24"/>
        </w:rPr>
        <w:t>Quy định mới về Lương tối thiểu, Chấm công, Khấu trừ lương &amp; Chế tài xử phạt hành chính từ 10/09/2026</w:t>
      </w:r>
    </w:p>
    <w:p>
      <w:r>
        <w:br/>
      </w:r>
    </w:p>
    <w:p>
      <w:r>
        <w:t>Tài liệu này tổng hợp toàn bộ các quy định pháp luật lao động hiện hành và mới nhất tại Việt Nam áp dụng cho năm 2026, đặc biệt dành cho các doanh nghiệp sản xuất điện tử. Nội dung được xây dựng dựa trên Bộ luật Lao động 2019, Nghị định 293/2025/NĐ-CP (lương tối thiểu vùng 2026) và Nghị định 283/2026/NĐ-CP (xử phạt vi phạm hành chính lĩnh vực lao động, hiệu lực từ ngày 10/09/2026).</w:t>
      </w:r>
    </w:p>
    <w:p>
      <w:r>
        <w:rPr>
          <w:b/>
          <w:color w:val="2F5496"/>
          <w:sz w:val="28"/>
        </w:rPr>
        <w:t>PHẦN I: QUY ĐỊNH LƯƠNG TỐI THIỂU VÙNG NĂM 2026 (Nghị định 293/2025/NĐ-CP)</w:t>
      </w:r>
    </w:p>
    <w:p>
      <w:r>
        <w:t>Áp dụng từ ngày 01/01/2026, mức lương tối thiểu vùng của người lao động được điều chỉnh tăng theo quy định tại Nghị định số 293/2025/NĐ-CP:</w:t>
      </w:r>
    </w:p>
    <w:tbl>
      <w:tblPr>
        <w:tblStyle w:val="TableGrid"/>
        <w:tblW w:type="auto" w:w="0"/>
        <w:tblLayout w:type="fixed"/>
        <w:tblLook w:firstColumn="1" w:firstRow="1" w:lastColumn="0" w:lastRow="0" w:noHBand="0" w:noVBand="1" w:val="04A0"/>
      </w:tblPr>
      <w:tblGrid>
        <w:gridCol w:w="3120"/>
        <w:gridCol w:w="3120"/>
        <w:gridCol w:w="3120"/>
      </w:tblGrid>
      <w:tr>
        <w:tc>
          <w:tcPr>
            <w:tcW w:type="dxa" w:w="2160"/>
            <w:shd w:fill="2F5496" w:val="clear"/>
            <w:tcMar>
              <w:top w:w="100" w:type="dxa"/>
              <w:bottom w:w="100" w:type="dxa"/>
              <w:left w:w="150" w:type="dxa"/>
              <w:right w:w="150" w:type="dxa"/>
            </w:tcMar>
          </w:tcPr>
          <w:p>
            <w:r>
              <w:rPr>
                <w:b/>
                <w:color w:val="FFFFFF"/>
              </w:rPr>
              <w:t>Vùng</w:t>
            </w:r>
          </w:p>
        </w:tc>
        <w:tc>
          <w:tcPr>
            <w:tcW w:type="dxa" w:w="3600"/>
            <w:shd w:fill="2F5496" w:val="clear"/>
            <w:tcMar>
              <w:top w:w="100" w:type="dxa"/>
              <w:bottom w:w="100" w:type="dxa"/>
              <w:left w:w="150" w:type="dxa"/>
              <w:right w:w="150" w:type="dxa"/>
            </w:tcMar>
          </w:tcPr>
          <w:p>
            <w:r>
              <w:rPr>
                <w:b/>
                <w:color w:val="FFFFFF"/>
              </w:rPr>
              <w:t>Mức lương tối thiểu tháng (VND)</w:t>
            </w:r>
          </w:p>
        </w:tc>
        <w:tc>
          <w:tcPr>
            <w:tcW w:type="dxa" w:w="3600"/>
            <w:shd w:fill="2F5496" w:val="clear"/>
            <w:tcMar>
              <w:top w:w="100" w:type="dxa"/>
              <w:bottom w:w="100" w:type="dxa"/>
              <w:left w:w="150" w:type="dxa"/>
              <w:right w:w="150" w:type="dxa"/>
            </w:tcMar>
          </w:tcPr>
          <w:p>
            <w:r>
              <w:rPr>
                <w:b/>
                <w:color w:val="FFFFFF"/>
              </w:rPr>
              <w:t>Mức lương tối thiểu giờ (VND)</w:t>
            </w:r>
          </w:p>
        </w:tc>
      </w:tr>
      <w:tr>
        <w:tc>
          <w:tcPr>
            <w:tcW w:type="dxa" w:w="2160"/>
            <w:tcMar>
              <w:top w:w="100" w:type="dxa"/>
              <w:bottom w:w="100" w:type="dxa"/>
              <w:left w:w="150" w:type="dxa"/>
              <w:right w:w="150" w:type="dxa"/>
            </w:tcMar>
          </w:tcPr>
          <w:p>
            <w:r>
              <w:t>Vùng I</w:t>
            </w:r>
          </w:p>
        </w:tc>
        <w:tc>
          <w:tcPr>
            <w:tcW w:type="dxa" w:w="3600"/>
            <w:tcMar>
              <w:top w:w="100" w:type="dxa"/>
              <w:bottom w:w="100" w:type="dxa"/>
              <w:left w:w="150" w:type="dxa"/>
              <w:right w:w="150" w:type="dxa"/>
            </w:tcMar>
          </w:tcPr>
          <w:p>
            <w:r>
              <w:t>5.310.000</w:t>
            </w:r>
          </w:p>
        </w:tc>
        <w:tc>
          <w:tcPr>
            <w:tcW w:type="dxa" w:w="3600"/>
            <w:tcMar>
              <w:top w:w="100" w:type="dxa"/>
              <w:bottom w:w="100" w:type="dxa"/>
              <w:left w:w="150" w:type="dxa"/>
              <w:right w:w="150" w:type="dxa"/>
            </w:tcMar>
          </w:tcPr>
          <w:p>
            <w:r>
              <w:t>25.500</w:t>
            </w:r>
          </w:p>
        </w:tc>
      </w:tr>
      <w:tr>
        <w:tc>
          <w:tcPr>
            <w:tcW w:type="dxa" w:w="2160"/>
            <w:tcMar>
              <w:top w:w="100" w:type="dxa"/>
              <w:bottom w:w="100" w:type="dxa"/>
              <w:left w:w="150" w:type="dxa"/>
              <w:right w:w="150" w:type="dxa"/>
            </w:tcMar>
            <w:shd w:fill="F2F2F2" w:val="clear"/>
          </w:tcPr>
          <w:p>
            <w:r>
              <w:t>Vùng II</w:t>
            </w:r>
          </w:p>
        </w:tc>
        <w:tc>
          <w:tcPr>
            <w:tcW w:type="dxa" w:w="3600"/>
            <w:tcMar>
              <w:top w:w="100" w:type="dxa"/>
              <w:bottom w:w="100" w:type="dxa"/>
              <w:left w:w="150" w:type="dxa"/>
              <w:right w:w="150" w:type="dxa"/>
            </w:tcMar>
            <w:shd w:fill="F2F2F2" w:val="clear"/>
          </w:tcPr>
          <w:p>
            <w:r>
              <w:t>4.730.000</w:t>
            </w:r>
          </w:p>
        </w:tc>
        <w:tc>
          <w:tcPr>
            <w:tcW w:type="dxa" w:w="3600"/>
            <w:tcMar>
              <w:top w:w="100" w:type="dxa"/>
              <w:bottom w:w="100" w:type="dxa"/>
              <w:left w:w="150" w:type="dxa"/>
              <w:right w:w="150" w:type="dxa"/>
            </w:tcMar>
            <w:shd w:fill="F2F2F2" w:val="clear"/>
          </w:tcPr>
          <w:p>
            <w:r>
              <w:t>22.700</w:t>
            </w:r>
          </w:p>
        </w:tc>
      </w:tr>
      <w:tr>
        <w:tc>
          <w:tcPr>
            <w:tcW w:type="dxa" w:w="2160"/>
            <w:tcMar>
              <w:top w:w="100" w:type="dxa"/>
              <w:bottom w:w="100" w:type="dxa"/>
              <w:left w:w="150" w:type="dxa"/>
              <w:right w:w="150" w:type="dxa"/>
            </w:tcMar>
          </w:tcPr>
          <w:p>
            <w:r>
              <w:t>Vùng III</w:t>
            </w:r>
          </w:p>
        </w:tc>
        <w:tc>
          <w:tcPr>
            <w:tcW w:type="dxa" w:w="3600"/>
            <w:tcMar>
              <w:top w:w="100" w:type="dxa"/>
              <w:bottom w:w="100" w:type="dxa"/>
              <w:left w:w="150" w:type="dxa"/>
              <w:right w:w="150" w:type="dxa"/>
            </w:tcMar>
          </w:tcPr>
          <w:p>
            <w:r>
              <w:t>4.140.000</w:t>
            </w:r>
          </w:p>
        </w:tc>
        <w:tc>
          <w:tcPr>
            <w:tcW w:type="dxa" w:w="3600"/>
            <w:tcMar>
              <w:top w:w="100" w:type="dxa"/>
              <w:bottom w:w="100" w:type="dxa"/>
              <w:left w:w="150" w:type="dxa"/>
              <w:right w:w="150" w:type="dxa"/>
            </w:tcMar>
          </w:tcPr>
          <w:p>
            <w:r>
              <w:t>20.000</w:t>
            </w:r>
          </w:p>
        </w:tc>
      </w:tr>
      <w:tr>
        <w:tc>
          <w:tcPr>
            <w:tcW w:type="dxa" w:w="2160"/>
            <w:tcMar>
              <w:top w:w="100" w:type="dxa"/>
              <w:bottom w:w="100" w:type="dxa"/>
              <w:left w:w="150" w:type="dxa"/>
              <w:right w:w="150" w:type="dxa"/>
            </w:tcMar>
            <w:shd w:fill="F2F2F2" w:val="clear"/>
          </w:tcPr>
          <w:p>
            <w:r>
              <w:t>Vùng IV</w:t>
            </w:r>
          </w:p>
        </w:tc>
        <w:tc>
          <w:tcPr>
            <w:tcW w:type="dxa" w:w="3600"/>
            <w:tcMar>
              <w:top w:w="100" w:type="dxa"/>
              <w:bottom w:w="100" w:type="dxa"/>
              <w:left w:w="150" w:type="dxa"/>
              <w:right w:w="150" w:type="dxa"/>
            </w:tcMar>
            <w:shd w:fill="F2F2F2" w:val="clear"/>
          </w:tcPr>
          <w:p>
            <w:r>
              <w:t>3.700.000</w:t>
            </w:r>
          </w:p>
        </w:tc>
        <w:tc>
          <w:tcPr>
            <w:tcW w:type="dxa" w:w="3600"/>
            <w:tcMar>
              <w:top w:w="100" w:type="dxa"/>
              <w:bottom w:w="100" w:type="dxa"/>
              <w:left w:w="150" w:type="dxa"/>
              <w:right w:w="150" w:type="dxa"/>
            </w:tcMar>
            <w:shd w:fill="F2F2F2" w:val="clear"/>
          </w:tcPr>
          <w:p>
            <w:r>
              <w:t>17.800</w:t>
            </w:r>
          </w:p>
        </w:tc>
      </w:tr>
    </w:tbl>
    <w:p>
      <w:r>
        <w:rPr>
          <w:b/>
        </w:rPr>
        <w:br/>
        <w:t xml:space="preserve">* Nguyên tắc áp dụng đặc thù: </w:t>
      </w:r>
      <w:r>
        <w:t>Doanh nghiệp hoạt động trên địa bàn nào thì áp dụng mức lương tối thiểu của địa bàn đó. Trường hợp doanh nghiệp có nhiều chi nhánh, đơn vị hoạt động ở các địa bàn có mức lương tối thiểu khác nhau thì chi nhánh ở địa bàn nào áp dụng mức lương tối thiểu của địa bàn đó. Nếu doanh nghiệp nằm trong khu công nghiệp, khu chế xuất, khu công nghệ cao nằm trên các địa bàn có mức lương tối thiểu khác nhau thì áp dụng theo mức lương của địa bàn có mức lương cao nhất.</w:t>
      </w:r>
    </w:p>
    <w:p>
      <w:r>
        <w:rPr>
          <w:b/>
        </w:rPr>
        <w:t xml:space="preserve">* Quy định chuyển tiếp quan trọng: </w:t>
      </w:r>
      <w:r>
        <w:t>Theo quy định của Nghị định 293/2025/NĐ-CP, khi áp dụng mức lương tối thiểu vùng mới, doanh nghiệp không được xóa bỏ hoặc cắt giảm các thỏa thuận về tiền lương đã ký kết trước đó. Đối với các trường hợp người lao động đã được tuyển dụng trước ngày 31/12/2025 mà địa bàn hoạt động bị điều chỉnh phân vùng mới làm giảm mức tối thiểu vùng thì doanh nghiệp bắt buộc phải duy trì mức lương tối thiểu cũ cao hơn để đảm bảo quyền lợi.</w:t>
      </w:r>
    </w:p>
    <w:p>
      <w:r>
        <w:rPr>
          <w:b/>
          <w:color w:val="2F5496"/>
          <w:sz w:val="28"/>
        </w:rPr>
        <w:br/>
        <w:t>PHẦN II: CƠ CHẾ CHẤM CÔNG &amp; TÍNH LƯƠNG LÀM THÊM GIỜ, LÀM ĐÊM</w:t>
      </w:r>
    </w:p>
    <w:p>
      <w:r>
        <w:rPr>
          <w:b/>
        </w:rPr>
        <w:t xml:space="preserve">1. Giờ làm việc bình thường và làm việc ban đêm: </w:t>
      </w:r>
      <w:r>
        <w:t>Thời giờ làm việc bình thường không quá 8 giờ/ngày và 48 giờ/tuần (khuyến khích thực hiện 40 giờ/tuần). Khung giờ làm việc ban đêm được quy định thống nhất từ 22 giờ tối hôm trước đến 06 giờ sáng hôm sau. Làm việc ban đêm được phụ cấp ít nhất bằng 30% tiền lương ngày thường (Điều 98 BLLĐ 2019).</w:t>
        <w:br/>
      </w:r>
    </w:p>
    <w:p>
      <w:r>
        <w:rPr>
          <w:b/>
        </w:rPr>
        <w:t xml:space="preserve">2. Lương làm thêm giờ ban ngày: </w:t>
      </w:r>
      <w:r>
        <w:t>Lao động làm thêm giờ vào ngày thường được trả ít nhất bằng 150% lương giờ ngày thường; ngày nghỉ hằng tuần ít nhất 200%; ngày nghỉ lễ, Tết, ngày nghỉ có hưởng lương ít nhất 300% (chưa kể tiền lương ngày lễ, Tết, ngày nghỉ có hưởng lương đối với người lao động hưởng lương ngày).</w:t>
        <w:br/>
      </w:r>
    </w:p>
    <w:p>
      <w:r>
        <w:rPr>
          <w:b/>
        </w:rPr>
        <w:t xml:space="preserve">3. Lương làm thêm giờ vào ban đêm (OT ca đêm): </w:t>
      </w:r>
      <w:r>
        <w:t>Theo quy định tại Điều 57 Nghị định 145/2020/NĐ-CP, tiền lương làm thêm giờ vào ban đêm được tính theo công thức tích hợp lũy tiến đa tầng:</w:t>
      </w:r>
    </w:p>
    <w:p>
      <w:pPr>
        <w:jc w:val="center"/>
      </w:pPr>
      <w:r>
        <w:rPr>
          <w:b/>
          <w:color w:val="C00000"/>
          <w:sz w:val="23"/>
        </w:rPr>
        <w:t>Lương OT Ca Đêm = Lương giờ thực trả x [Tỷ lệ OT ngày + 30% + (20% x Tỷ lệ ban ngày tương ứng)]</w:t>
      </w:r>
    </w:p>
    <w:p>
      <w:r>
        <w:t>Bảng tỷ lệ thanh toán quy đổi chi tiết áp dụng cho doanh nghiệp:</w:t>
      </w:r>
    </w:p>
    <w:tbl>
      <w:tblPr>
        <w:tblStyle w:val="TableGrid"/>
        <w:tblW w:type="auto" w:w="0"/>
        <w:tblLayout w:type="fixed"/>
        <w:tblLook w:firstColumn="1" w:firstRow="1" w:lastColumn="0" w:lastRow="0" w:noHBand="0" w:noVBand="1" w:val="04A0"/>
      </w:tblPr>
      <w:tblGrid>
        <w:gridCol w:w="3120"/>
        <w:gridCol w:w="3120"/>
        <w:gridCol w:w="3120"/>
      </w:tblGrid>
      <w:tr>
        <w:tc>
          <w:tcPr>
            <w:tcW w:type="dxa" w:w="3600"/>
            <w:shd w:fill="4472C4" w:val="clear"/>
            <w:tcMar>
              <w:top w:w="100" w:type="dxa"/>
              <w:bottom w:w="100" w:type="dxa"/>
              <w:left w:w="150" w:type="dxa"/>
              <w:right w:w="150" w:type="dxa"/>
            </w:tcMar>
          </w:tcPr>
          <w:p>
            <w:r>
              <w:rPr>
                <w:b/>
                <w:color w:val="FFFFFF"/>
              </w:rPr>
              <w:t>Loại ngày làm việc</w:t>
            </w:r>
          </w:p>
        </w:tc>
        <w:tc>
          <w:tcPr>
            <w:tcW w:type="dxa" w:w="3600"/>
            <w:shd w:fill="4472C4" w:val="clear"/>
            <w:tcMar>
              <w:top w:w="100" w:type="dxa"/>
              <w:bottom w:w="100" w:type="dxa"/>
              <w:left w:w="150" w:type="dxa"/>
              <w:right w:w="150" w:type="dxa"/>
            </w:tcMar>
          </w:tcPr>
          <w:p>
            <w:r>
              <w:rPr>
                <w:b/>
                <w:color w:val="FFFFFF"/>
              </w:rPr>
              <w:t>Công thức tính hệ số</w:t>
            </w:r>
          </w:p>
        </w:tc>
        <w:tc>
          <w:tcPr>
            <w:tcW w:type="dxa" w:w="2160"/>
            <w:shd w:fill="4472C4" w:val="clear"/>
            <w:tcMar>
              <w:top w:w="100" w:type="dxa"/>
              <w:bottom w:w="100" w:type="dxa"/>
              <w:left w:w="150" w:type="dxa"/>
              <w:right w:w="150" w:type="dxa"/>
            </w:tcMar>
          </w:tcPr>
          <w:p>
            <w:r>
              <w:rPr>
                <w:b/>
                <w:color w:val="FFFFFF"/>
              </w:rPr>
              <w:t>Tỷ lệ quy đổi thực tế</w:t>
            </w:r>
          </w:p>
        </w:tc>
      </w:tr>
      <w:tr>
        <w:tc>
          <w:tcPr>
            <w:tcW w:type="dxa" w:w="3600"/>
            <w:tcMar>
              <w:top w:w="100" w:type="dxa"/>
              <w:bottom w:w="100" w:type="dxa"/>
              <w:left w:w="150" w:type="dxa"/>
              <w:right w:w="150" w:type="dxa"/>
            </w:tcMar>
          </w:tcPr>
          <w:p>
            <w:r>
              <w:t>Ngày thường (không làm thêm ban ngày trước đó)</w:t>
            </w:r>
          </w:p>
        </w:tc>
        <w:tc>
          <w:tcPr>
            <w:tcW w:type="dxa" w:w="3600"/>
            <w:tcMar>
              <w:top w:w="100" w:type="dxa"/>
              <w:bottom w:w="100" w:type="dxa"/>
              <w:left w:w="150" w:type="dxa"/>
              <w:right w:w="150" w:type="dxa"/>
            </w:tcMar>
          </w:tcPr>
          <w:p>
            <w:r>
              <w:t>100% x [150% + 30% + (20% x 100%)]</w:t>
            </w:r>
          </w:p>
        </w:tc>
        <w:tc>
          <w:tcPr>
            <w:tcW w:type="dxa" w:w="2160"/>
            <w:tcMar>
              <w:top w:w="100" w:type="dxa"/>
              <w:bottom w:w="100" w:type="dxa"/>
              <w:left w:w="150" w:type="dxa"/>
              <w:right w:w="150" w:type="dxa"/>
            </w:tcMar>
          </w:tcPr>
          <w:p>
            <w:r>
              <w:t>200%</w:t>
            </w:r>
          </w:p>
        </w:tc>
      </w:tr>
      <w:tr>
        <w:tc>
          <w:tcPr>
            <w:tcW w:type="dxa" w:w="3600"/>
            <w:tcMar>
              <w:top w:w="100" w:type="dxa"/>
              <w:bottom w:w="100" w:type="dxa"/>
              <w:left w:w="150" w:type="dxa"/>
              <w:right w:w="150" w:type="dxa"/>
            </w:tcMar>
            <w:shd w:fill="F2F2F2" w:val="clear"/>
          </w:tcPr>
          <w:p>
            <w:r>
              <w:t>Ngày thường (có làm thêm ban ngày trước đó)</w:t>
            </w:r>
          </w:p>
        </w:tc>
        <w:tc>
          <w:tcPr>
            <w:tcW w:type="dxa" w:w="3600"/>
            <w:tcMar>
              <w:top w:w="100" w:type="dxa"/>
              <w:bottom w:w="100" w:type="dxa"/>
              <w:left w:w="150" w:type="dxa"/>
              <w:right w:w="150" w:type="dxa"/>
            </w:tcMar>
            <w:shd w:fill="F2F2F2" w:val="clear"/>
          </w:tcPr>
          <w:p>
            <w:r>
              <w:t>100% x [150% + 30% + (20% x 150%)]</w:t>
            </w:r>
          </w:p>
        </w:tc>
        <w:tc>
          <w:tcPr>
            <w:tcW w:type="dxa" w:w="2160"/>
            <w:tcMar>
              <w:top w:w="100" w:type="dxa"/>
              <w:bottom w:w="100" w:type="dxa"/>
              <w:left w:w="150" w:type="dxa"/>
              <w:right w:w="150" w:type="dxa"/>
            </w:tcMar>
            <w:shd w:fill="F2F2F2" w:val="clear"/>
          </w:tcPr>
          <w:p>
            <w:r>
              <w:t>210%</w:t>
            </w:r>
          </w:p>
        </w:tc>
      </w:tr>
      <w:tr>
        <w:tc>
          <w:tcPr>
            <w:tcW w:type="dxa" w:w="3600"/>
            <w:tcMar>
              <w:top w:w="100" w:type="dxa"/>
              <w:bottom w:w="100" w:type="dxa"/>
              <w:left w:w="150" w:type="dxa"/>
              <w:right w:w="150" w:type="dxa"/>
            </w:tcMar>
          </w:tcPr>
          <w:p>
            <w:r>
              <w:t>Ngày nghỉ hằng tuần (Chủ nhật)</w:t>
            </w:r>
          </w:p>
        </w:tc>
        <w:tc>
          <w:tcPr>
            <w:tcW w:type="dxa" w:w="3600"/>
            <w:tcMar>
              <w:top w:w="100" w:type="dxa"/>
              <w:bottom w:w="100" w:type="dxa"/>
              <w:left w:w="150" w:type="dxa"/>
              <w:right w:w="150" w:type="dxa"/>
            </w:tcMar>
          </w:tcPr>
          <w:p>
            <w:r>
              <w:t>100% x [200% + 30% + (20% x 200%)]</w:t>
            </w:r>
          </w:p>
        </w:tc>
        <w:tc>
          <w:tcPr>
            <w:tcW w:type="dxa" w:w="2160"/>
            <w:tcMar>
              <w:top w:w="100" w:type="dxa"/>
              <w:bottom w:w="100" w:type="dxa"/>
              <w:left w:w="150" w:type="dxa"/>
              <w:right w:w="150" w:type="dxa"/>
            </w:tcMar>
          </w:tcPr>
          <w:p>
            <w:r>
              <w:t>270%</w:t>
            </w:r>
          </w:p>
        </w:tc>
      </w:tr>
      <w:tr>
        <w:tc>
          <w:tcPr>
            <w:tcW w:type="dxa" w:w="3600"/>
            <w:tcMar>
              <w:top w:w="100" w:type="dxa"/>
              <w:bottom w:w="100" w:type="dxa"/>
              <w:left w:w="150" w:type="dxa"/>
              <w:right w:w="150" w:type="dxa"/>
            </w:tcMar>
            <w:shd w:fill="F2F2F2" w:val="clear"/>
          </w:tcPr>
          <w:p>
            <w:r>
              <w:t>Ngày nghỉ lễ, Tết, ngày nghỉ hưởng lương</w:t>
            </w:r>
          </w:p>
        </w:tc>
        <w:tc>
          <w:tcPr>
            <w:tcW w:type="dxa" w:w="3600"/>
            <w:tcMar>
              <w:top w:w="100" w:type="dxa"/>
              <w:bottom w:w="100" w:type="dxa"/>
              <w:left w:w="150" w:type="dxa"/>
              <w:right w:w="150" w:type="dxa"/>
            </w:tcMar>
            <w:shd w:fill="F2F2F2" w:val="clear"/>
          </w:tcPr>
          <w:p>
            <w:r>
              <w:t>100% x [300% + 30% + (20% x 300%)]</w:t>
            </w:r>
          </w:p>
        </w:tc>
        <w:tc>
          <w:tcPr>
            <w:tcW w:type="dxa" w:w="2160"/>
            <w:tcMar>
              <w:top w:w="100" w:type="dxa"/>
              <w:bottom w:w="100" w:type="dxa"/>
              <w:left w:w="150" w:type="dxa"/>
              <w:right w:w="150" w:type="dxa"/>
            </w:tcMar>
            <w:shd w:fill="F2F2F2" w:val="clear"/>
          </w:tcPr>
          <w:p>
            <w:r>
              <w:t>390%</w:t>
            </w:r>
          </w:p>
        </w:tc>
      </w:tr>
    </w:tbl>
    <w:p>
      <w:r>
        <w:rPr>
          <w:b/>
        </w:rPr>
        <w:br/>
        <w:t xml:space="preserve">4. Quy định về thuế và chi phí đối với doanh nghiệp: </w:t>
      </w:r>
      <w:r>
        <w:t>Phần tiền lương làm thêm giờ, làm đêm được trả cao hơn so với tiền lương giờ ngày thường được miễn thuế thu nhập cá nhân (TNCN) cho người lao động. Đồng thời, toàn bộ chi phí tiền lương làm thêm giờ hợp pháp (được sự đồng ý bằng văn bản của người lao động và không vượt quá giới hạn giờ làm thêm quy định) được hạch toán vào chi phí được trừ khi xác định thuế thu nhập doanh nghiệp (TNDN) của doanh nghiệp sản xuất điện tử.</w:t>
      </w:r>
    </w:p>
    <w:p>
      <w:r>
        <w:rPr>
          <w:b/>
          <w:color w:val="2F5496"/>
          <w:sz w:val="28"/>
        </w:rPr>
        <w:br/>
        <w:t>PHẦN III: KHẤU TRỪ TIỀN LƯƠNG VÀ KỶ LUẬT LAO ĐỘNG HỢP PHÁP</w:t>
      </w:r>
    </w:p>
    <w:p>
      <w:r>
        <w:rPr>
          <w:b/>
        </w:rPr>
        <w:t xml:space="preserve">1. Khấu trừ lương hợp pháp (Điều 102 BLLĐ 2019): </w:t>
      </w:r>
      <w:r>
        <w:t>Người sử dụng lao động chỉ được khấu trừ tiền lương của người lao động để bồi thường thiệt hại do làm hư hỏng dụng cụ, thiết bị hoặc có hành vi khác gây thiệt hại tài sản của người sử dụng lao động theo quy định. Người lao động phải được thảo luận và biết rõ lý do khấu trừ. Mức khấu trừ tiền lương hằng tháng tối đa không được vượt quá 30% tiền lương thực trả hằng tháng của người lao động sau khi trích nộp các khoản bảo hiểm bắt buộc và thuế TNCN.</w:t>
      </w:r>
    </w:p>
    <w:p>
      <w:r>
        <w:rPr>
          <w:b/>
        </w:rPr>
        <w:t xml:space="preserve">2. Nghiêm cấm hành vi phạt trừ lương thay kỷ luật lao động: </w:t>
      </w:r>
      <w:r>
        <w:t>Nghiêm cấm hoàn toàn hành vi áp dụng hình thức phạt tiền, cắt trừ lương trực tiếp thay cho việc xử lý kỷ luật lao động khi người lao động đi trễ, về sớm, không hoàn thành KPI hoặc vi phạm nội quy xưởng sản xuất (Điều 127 Bộ luật Lao động 2019). Doanh nghiệp tự ý trừ lương đi trễ sẽ bị phạt hành chính nặng nề từ ngày 10/09/2026 và buộc phải bồi hoàn toàn bộ tiền đã trừ cộng lãi suất chậm trả cho người lao động.</w:t>
      </w:r>
    </w:p>
    <w:p>
      <w:r>
        <w:t>Để xử lý vi phạm đi trễ, vi phạm quy trình sản xuất, doanh nghiệp điện tử bắt buộc phải áp dụng các hình thức kỷ luật lao động hợp pháp được quy định rõ trong nội quy lao động đã đăng ký với Sở LĐ-TB&amp;XH bao gồm: khiển trách bằng văn bản; kéo dài thời hạn nâng lương không quá 06 tháng; cách chức; hoặc sa thải (áp dụng đối với hành vi nghiêm trọng gây thiệt hại lớn cho dây chuyền sản xuất).</w:t>
      </w:r>
    </w:p>
    <w:p>
      <w:r>
        <w:rPr>
          <w:b/>
          <w:color w:val="2F5496"/>
          <w:sz w:val="28"/>
        </w:rPr>
        <w:br/>
        <w:t>PHẦN IV: CHẾ TÀI XỬ PHẠT HÀNH CHÍNH MỚI NHẤT (Áp dụng từ 10/09/2026)</w:t>
      </w:r>
    </w:p>
    <w:p>
      <w:r>
        <w:t>Nghị định số 283/2026/NĐ-CP điều chỉnh tăng mạnh mức phạt hành chính đối với các hành vi vi phạm pháp luật lao động, có hiệu lực từ ngày 10/09/2026. Mức phạt tiền áp dụng đối với tổ chức/doanh nghiệp bằng 02 lần mức phạt tiền đối với cá nhân vi phạm.</w:t>
      </w:r>
    </w:p>
    <w:tbl>
      <w:tblPr>
        <w:tblStyle w:val="TableGrid"/>
        <w:tblW w:type="auto" w:w="0"/>
        <w:tblLayout w:type="fixed"/>
        <w:tblLook w:firstColumn="1" w:firstRow="1" w:lastColumn="0" w:lastRow="0" w:noHBand="0" w:noVBand="1" w:val="04A0"/>
      </w:tblPr>
      <w:tblGrid>
        <w:gridCol w:w="4680"/>
        <w:gridCol w:w="4680"/>
      </w:tblGrid>
      <w:tr>
        <w:tc>
          <w:tcPr>
            <w:tcW w:type="dxa" w:w="5040"/>
            <w:shd w:fill="2F5496" w:val="clear"/>
            <w:tcMar>
              <w:top w:w="100" w:type="dxa"/>
              <w:bottom w:w="100" w:type="dxa"/>
              <w:left w:w="150" w:type="dxa"/>
              <w:right w:w="150" w:type="dxa"/>
            </w:tcMar>
          </w:tcPr>
          <w:p>
            <w:r>
              <w:rPr>
                <w:b/>
                <w:color w:val="FFFFFF"/>
              </w:rPr>
              <w:t>Hành vi vi phạm của Doanh nghiệp</w:t>
            </w:r>
          </w:p>
        </w:tc>
        <w:tc>
          <w:tcPr>
            <w:tcW w:type="dxa" w:w="4320"/>
            <w:shd w:fill="2F5496" w:val="clear"/>
            <w:tcMar>
              <w:top w:w="100" w:type="dxa"/>
              <w:bottom w:w="100" w:type="dxa"/>
              <w:left w:w="150" w:type="dxa"/>
              <w:right w:w="150" w:type="dxa"/>
            </w:tcMar>
          </w:tcPr>
          <w:p>
            <w:r>
              <w:rPr>
                <w:b/>
                <w:color w:val="FFFFFF"/>
              </w:rPr>
              <w:t>Mức xử phạt hành chính đối với Tổ chức / Doanh nghiệp</w:t>
            </w:r>
          </w:p>
        </w:tc>
      </w:tr>
      <w:tr>
        <w:tc>
          <w:tcPr>
            <w:tcW w:type="dxa" w:w="5040"/>
            <w:tcMar>
              <w:top w:w="100" w:type="dxa"/>
              <w:bottom w:w="100" w:type="dxa"/>
              <w:left w:w="150" w:type="dxa"/>
              <w:right w:w="150" w:type="dxa"/>
            </w:tcMar>
          </w:tcPr>
          <w:p>
            <w:r>
              <w:t>Vi phạm quy định hành chính về lương (không công khai thang bảng lương, quy chế thưởng; không thông báo bảng kê lương hằng tháng payslip)</w:t>
            </w:r>
          </w:p>
        </w:tc>
        <w:tc>
          <w:tcPr>
            <w:tcW w:type="dxa" w:w="4320"/>
            <w:tcMar>
              <w:top w:w="100" w:type="dxa"/>
              <w:bottom w:w="100" w:type="dxa"/>
              <w:left w:w="150" w:type="dxa"/>
              <w:right w:w="150" w:type="dxa"/>
            </w:tcMar>
          </w:tcPr>
          <w:p>
            <w:r>
              <w:t>Phạt tiền từ 10.000.000 đến 20.000.000 VND</w:t>
            </w:r>
          </w:p>
        </w:tc>
      </w:tr>
      <w:tr>
        <w:tc>
          <w:tcPr>
            <w:tcW w:type="dxa" w:w="5040"/>
            <w:tcMar>
              <w:top w:w="100" w:type="dxa"/>
              <w:bottom w:w="100" w:type="dxa"/>
              <w:left w:w="150" w:type="dxa"/>
              <w:right w:w="150" w:type="dxa"/>
            </w:tcMar>
            <w:shd w:fill="F2F2F2" w:val="clear"/>
          </w:tcPr>
          <w:p>
            <w:r>
              <w:t>Vi phạm về thanh toán lương (trả chậm lương quá hạn, trả không đủ lương, tự ý khấu trừ lương trái quy định của pháp luật)</w:t>
            </w:r>
          </w:p>
        </w:tc>
        <w:tc>
          <w:tcPr>
            <w:tcW w:type="dxa" w:w="4320"/>
            <w:tcMar>
              <w:top w:w="100" w:type="dxa"/>
              <w:bottom w:w="100" w:type="dxa"/>
              <w:left w:w="150" w:type="dxa"/>
              <w:right w:w="150" w:type="dxa"/>
            </w:tcMar>
            <w:shd w:fill="F2F2F2" w:val="clear"/>
          </w:tcPr>
          <w:p>
            <w:r>
              <w:t>Phạt từ 10.000.000 đến 100.000.000 VND (tùy quy mô ảnh hưởng; quy mô từ 301 lao động trở lên phạt tối đa 100 triệu)</w:t>
            </w:r>
          </w:p>
        </w:tc>
      </w:tr>
      <w:tr>
        <w:tc>
          <w:tcPr>
            <w:tcW w:type="dxa" w:w="5040"/>
            <w:tcMar>
              <w:top w:w="100" w:type="dxa"/>
              <w:bottom w:w="100" w:type="dxa"/>
              <w:left w:w="150" w:type="dxa"/>
              <w:right w:w="150" w:type="dxa"/>
            </w:tcMar>
          </w:tcPr>
          <w:p>
            <w:r>
              <w:t>Trả lương cho người lao động thấp hơn mức tối thiểu vùng quy định</w:t>
            </w:r>
          </w:p>
        </w:tc>
        <w:tc>
          <w:tcPr>
            <w:tcW w:type="dxa" w:w="4320"/>
            <w:tcMar>
              <w:top w:w="100" w:type="dxa"/>
              <w:bottom w:w="100" w:type="dxa"/>
              <w:left w:w="150" w:type="dxa"/>
              <w:right w:w="150" w:type="dxa"/>
            </w:tcMar>
          </w:tcPr>
          <w:p>
            <w:r>
              <w:t>Phạt từ 40.000.000 đến 150.000.000 VND (quy mô từ 301 lao động trở lên phạt tối đa 150 triệu)</w:t>
            </w:r>
          </w:p>
        </w:tc>
      </w:tr>
      <w:tr>
        <w:tc>
          <w:tcPr>
            <w:tcW w:type="dxa" w:w="5040"/>
            <w:tcMar>
              <w:top w:w="100" w:type="dxa"/>
              <w:bottom w:w="100" w:type="dxa"/>
              <w:left w:w="150" w:type="dxa"/>
              <w:right w:w="150" w:type="dxa"/>
            </w:tcMar>
            <w:shd w:fill="F2F2F2" w:val="clear"/>
          </w:tcPr>
          <w:p>
            <w:r>
              <w:t>Huy động làm thêm giờ quá giới hạn cho phép (vượt quá 40 giờ/tháng hoặc 200-300 giờ/năm khi chưa được cấp phép)</w:t>
            </w:r>
          </w:p>
        </w:tc>
        <w:tc>
          <w:tcPr>
            <w:tcW w:type="dxa" w:w="4320"/>
            <w:tcMar>
              <w:top w:w="100" w:type="dxa"/>
              <w:bottom w:w="100" w:type="dxa"/>
              <w:left w:w="150" w:type="dxa"/>
              <w:right w:w="150" w:type="dxa"/>
            </w:tcMar>
            <w:shd w:fill="F2F2F2" w:val="clear"/>
          </w:tcPr>
          <w:p>
            <w:r>
              <w:t>Phạt từ 10.000.000 đến 150.000.000 VND (quy mô lớn hơn 301 người phạt tối đa 150 triệu, đình chỉ hoạt động tăng ca từ 1-3 tháng)</w:t>
            </w:r>
          </w:p>
        </w:tc>
      </w:tr>
      <w:tr>
        <w:tc>
          <w:tcPr>
            <w:tcW w:type="dxa" w:w="5040"/>
            <w:tcMar>
              <w:top w:w="100" w:type="dxa"/>
              <w:bottom w:w="100" w:type="dxa"/>
              <w:left w:w="150" w:type="dxa"/>
              <w:right w:w="150" w:type="dxa"/>
            </w:tcMar>
          </w:tcPr>
          <w:p>
            <w:r>
              <w:t>Huy động làm thêm giờ không có sự đồng ý bằng văn bản của người lao động (ép buộc tăng ca sản xuất)</w:t>
            </w:r>
          </w:p>
        </w:tc>
        <w:tc>
          <w:tcPr>
            <w:tcW w:type="dxa" w:w="4320"/>
            <w:tcMar>
              <w:top w:w="100" w:type="dxa"/>
              <w:bottom w:w="100" w:type="dxa"/>
              <w:left w:w="150" w:type="dxa"/>
              <w:right w:w="150" w:type="dxa"/>
            </w:tcMar>
          </w:tcPr>
          <w:p>
            <w:r>
              <w:t>Phạt tiền từ 40.000.000 đến 50.000.000 VND</w:t>
            </w:r>
          </w:p>
        </w:tc>
      </w:tr>
      <w:tr>
        <w:tc>
          <w:tcPr>
            <w:tcW w:type="dxa" w:w="5040"/>
            <w:tcMar>
              <w:top w:w="100" w:type="dxa"/>
              <w:bottom w:w="100" w:type="dxa"/>
              <w:left w:w="150" w:type="dxa"/>
              <w:right w:w="150" w:type="dxa"/>
            </w:tcMar>
            <w:shd w:fill="F2F2F2" w:val="clear"/>
          </w:tcPr>
          <w:p>
            <w:r>
              <w:t>Áp dụng hình thức phạt tiền, cắt trừ lương thay cho kỷ luật lao động</w:t>
            </w:r>
          </w:p>
        </w:tc>
        <w:tc>
          <w:tcPr>
            <w:tcW w:type="dxa" w:w="4320"/>
            <w:tcMar>
              <w:top w:w="100" w:type="dxa"/>
              <w:bottom w:w="100" w:type="dxa"/>
              <w:left w:w="150" w:type="dxa"/>
              <w:right w:w="150" w:type="dxa"/>
            </w:tcMar>
            <w:shd w:fill="F2F2F2" w:val="clear"/>
          </w:tcPr>
          <w:p>
            <w:r>
              <w:t>Phạt tiền từ 40.000.000 đến 80.000.000 VND (Phạt gấp 2 lần mức 20 - 40 triệu đối với cá nhân)</w:t>
            </w:r>
          </w:p>
        </w:tc>
      </w:tr>
    </w:tbl>
    <w:p>
      <w:r>
        <w:rPr>
          <w:b/>
        </w:rPr>
        <w:br/>
        <w:t xml:space="preserve">* Biện pháp khắc phục hậu quả bắt buộc: </w:t>
      </w:r>
      <w:r>
        <w:t>Ngoài việc chịu mức phạt hành chính nêu trên, doanh nghiệp vi phạm bắt buộc phải thực hiện các biện pháp khắc phục hậu quả sau: Buộc trả đủ tiền lương cộng với tiền lãi của số tiền lương chậm trả, trả thiếu cho người lao động. Tiền lãi được tính theo mức lãi suất tiền gửi không kỳ hạn cao nhất của các ngân hàng thương mại nhà nước công bố tại thời điểm xử phạt.</w:t>
      </w:r>
    </w:p>
    <w:p>
      <w:r>
        <w:rPr>
          <w:b/>
          <w:color w:val="2F5496"/>
          <w:sz w:val="28"/>
        </w:rPr>
        <w:br/>
        <w:t>PHẦN V: CHECKLIST TUÂN THỦ DÀNH CHO BAN GIÁM ĐỐC &amp; BỘ PHẬN HR</w:t>
      </w:r>
    </w:p>
    <w:p>
      <w:r>
        <w:rPr>
          <w:b/>
          <w:color w:val="2F5496"/>
        </w:rPr>
        <w:t xml:space="preserve">☐  </w:t>
      </w:r>
      <w:r>
        <w:t>Rà soát và điều chỉnh lương hợp đồng: Đảm bảo không có nhân viên nào (đặc biệt là công nhân thử việc) có mức lương thấp hơn mức lương tối thiểu vùng năm 2026 của địa bàn hoạt động.</w:t>
      </w:r>
    </w:p>
    <w:p>
      <w:r>
        <w:rPr>
          <w:b/>
          <w:color w:val="2F5496"/>
        </w:rPr>
        <w:t xml:space="preserve">☐  </w:t>
      </w:r>
      <w:r>
        <w:t>Thiết lập Sổ quản lý lao động điện tử: Cập nhật đầy đủ 20 thông tin bắt buộc đối với tất cả nhân sự đang làm việc và lưu trữ trực tuyến an toàn.</w:t>
      </w:r>
    </w:p>
    <w:p>
      <w:r>
        <w:rPr>
          <w:b/>
          <w:color w:val="2F5496"/>
        </w:rPr>
        <w:t xml:space="preserve">☐  </w:t>
      </w:r>
      <w:r>
        <w:t>Chuẩn hóa Bảng chấm công tự động: Đồng bộ dữ liệu quẹt vân tay/thẻ từ nhà máy, cấu hình cơ chế ghép cặp Check-in/Check-out tự động để làm căn cứ chấm công và tính lương OT hợp lệ.</w:t>
      </w:r>
    </w:p>
    <w:p>
      <w:r>
        <w:rPr>
          <w:b/>
          <w:color w:val="2F5496"/>
        </w:rPr>
        <w:t xml:space="preserve">☐  </w:t>
      </w:r>
      <w:r>
        <w:t>Bãi bỏ các chế tài trừ tiền lương đi trễ: Rà soát lại tất cả nội quy, quy chế thưởng, loại bỏ hoàn toàn việc trừ tiền mặt hay cắt lương trực tiếp khi công nhân đi trễ, về sớm. Thay thế bằng hình thức hạ điểm chuyên cần, khiển trách thi đua hoặc xử lý kỷ luật lao động theo trình tự luật định.</w:t>
      </w:r>
    </w:p>
    <w:p>
      <w:r>
        <w:rPr>
          <w:b/>
          <w:color w:val="2F5496"/>
        </w:rPr>
        <w:t xml:space="preserve">☐  </w:t>
      </w:r>
      <w:r>
        <w:t>Gửi Bảng kê lương (Payslip) hằng tháng: Đảm bảo phần mềm hoặc phòng nhân sự gửi bảng kê chi tiết các khoản lương cứng, phụ cấp, lương làm thêm giờ, các khoản bảo hiểm bắt buộc và thuế bị khấu trừ cho từng người lao động mỗi kỳ chi trả.</w:t>
      </w:r>
    </w:p>
    <w:p>
      <w:r>
        <w:rPr>
          <w:b/>
          <w:color w:val="2F5496"/>
        </w:rPr>
        <w:t xml:space="preserve">☐  </w:t>
      </w:r>
      <w:r>
        <w:t>Ký văn bản thỏa thuận tăng ca (OT): Chuẩn bị và tổ chức cho người lao động ký biên bản thỏa thuận đồng ý làm thêm giờ trước khi huy động tăng ca, đảm bảo số giờ làm thêm không vượt quá 40 giờ/tháng và 200 giờ/năm (hoặc gửi thông báo đến Sở LĐ-TB&amp;XH nếu tăng ca từ 200 đến 300 giờ/năm).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