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Market Simulation and Project Lead Assignment</w:t>
      </w:r>
    </w:p>
    <w:p>
      <w:pPr>
        <w:spacing w:after="240"/>
      </w:pPr>
      <w:r>
        <w:rPr>
          <w:b/>
          <w:sz w:val="26"/>
        </w:rPr>
        <w:t>IFT 401 Team 2 Mock Stock Trading System</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16"/>
      </w:tblGrid>
      <w:tr>
        <w:tc>
          <w:tcPr>
            <w:tcW w:type="dxa" w:w="4968"/>
            <w:shd w:fill="DCE6F1"/>
            <w:tcMar>
              <w:top w:w="105" w:type="dxa"/>
              <w:start w:w="105" w:type="dxa"/>
              <w:bottom w:w="105" w:type="dxa"/>
              <w:end w:w="105" w:type="dxa"/>
            </w:tcMar>
            <w:vAlign w:val="center"/>
          </w:tcPr>
          <w:p>
            <w:r>
              <w:rPr>
                <w:b/>
              </w:rPr>
              <w:t>Assigned to</w:t>
            </w:r>
          </w:p>
        </w:tc>
        <w:tc>
          <w:tcPr>
            <w:tcW w:type="dxa" w:w="4968"/>
            <w:tcMar>
              <w:top w:w="105" w:type="dxa"/>
              <w:start w:w="105" w:type="dxa"/>
              <w:bottom w:w="105" w:type="dxa"/>
              <w:end w:w="105" w:type="dxa"/>
            </w:tcMar>
            <w:vAlign w:val="center"/>
          </w:tcPr>
          <w:p>
            <w:r>
              <w:t>Nathan Able</w:t>
            </w:r>
          </w:p>
        </w:tc>
      </w:tr>
      <w:tr>
        <w:tc>
          <w:tcPr>
            <w:tcW w:type="dxa" w:w="4968"/>
            <w:shd w:fill="DCE6F1"/>
            <w:tcMar>
              <w:top w:w="105" w:type="dxa"/>
              <w:start w:w="105" w:type="dxa"/>
              <w:bottom w:w="105" w:type="dxa"/>
              <w:end w:w="105" w:type="dxa"/>
            </w:tcMar>
            <w:vAlign w:val="center"/>
          </w:tcPr>
          <w:p>
            <w:r>
              <w:rPr>
                <w:b/>
              </w:rPr>
              <w:t>Assigned by</w:t>
            </w:r>
          </w:p>
        </w:tc>
        <w:tc>
          <w:tcPr>
            <w:tcW w:type="dxa" w:w="4968"/>
            <w:shd w:fill="F2F6FA"/>
            <w:tcMar>
              <w:top w:w="105" w:type="dxa"/>
              <w:start w:w="105" w:type="dxa"/>
              <w:bottom w:w="105" w:type="dxa"/>
              <w:end w:w="105" w:type="dxa"/>
            </w:tcMar>
            <w:vAlign w:val="center"/>
          </w:tcPr>
          <w:p>
            <w:r>
              <w:t>Nathan Able, Project Lead</w:t>
            </w:r>
          </w:p>
        </w:tc>
      </w:tr>
      <w:tr>
        <w:tc>
          <w:tcPr>
            <w:tcW w:type="dxa" w:w="4968"/>
            <w:shd w:fill="DCE6F1"/>
            <w:tcMar>
              <w:top w:w="105" w:type="dxa"/>
              <w:start w:w="105" w:type="dxa"/>
              <w:bottom w:w="105" w:type="dxa"/>
              <w:end w:w="105" w:type="dxa"/>
            </w:tcMar>
            <w:vAlign w:val="center"/>
          </w:tcPr>
          <w:p>
            <w:r>
              <w:rPr>
                <w:b/>
              </w:rPr>
              <w:t>Documented</w:t>
            </w:r>
          </w:p>
        </w:tc>
        <w:tc>
          <w:tcPr>
            <w:tcW w:type="dxa" w:w="4968"/>
            <w:tcMar>
              <w:top w:w="105" w:type="dxa"/>
              <w:start w:w="105" w:type="dxa"/>
              <w:bottom w:w="105" w:type="dxa"/>
              <w:end w:w="105" w:type="dxa"/>
            </w:tcMar>
            <w:vAlign w:val="center"/>
          </w:tcPr>
          <w:p>
            <w:r>
              <w:t>September 19, 2026</w:t>
            </w:r>
          </w:p>
        </w:tc>
      </w:tr>
      <w:tr>
        <w:tc>
          <w:tcPr>
            <w:tcW w:type="dxa" w:w="4968"/>
            <w:shd w:fill="DCE6F1"/>
            <w:tcMar>
              <w:top w:w="105" w:type="dxa"/>
              <w:start w:w="105" w:type="dxa"/>
              <w:bottom w:w="105" w:type="dxa"/>
              <w:end w:w="105" w:type="dxa"/>
            </w:tcMar>
            <w:vAlign w:val="center"/>
          </w:tcPr>
          <w:p>
            <w:r>
              <w:rPr>
                <w:b/>
              </w:rPr>
              <w:t>Start condition</w:t>
            </w:r>
          </w:p>
        </w:tc>
        <w:tc>
          <w:tcPr>
            <w:tcW w:type="dxa" w:w="4968"/>
            <w:shd w:fill="F2F6FA"/>
            <w:tcMar>
              <w:top w:w="105" w:type="dxa"/>
              <w:start w:w="105" w:type="dxa"/>
              <w:bottom w:w="105" w:type="dxa"/>
              <w:end w:w="105" w:type="dxa"/>
            </w:tcMar>
            <w:vAlign w:val="center"/>
          </w:tcPr>
          <w:p>
            <w:r>
              <w:t>Begin implementation after Pull Request 3 is merged and local main is synchronized</w:t>
            </w:r>
          </w:p>
        </w:tc>
      </w:tr>
      <w:tr>
        <w:tc>
          <w:tcPr>
            <w:tcW w:type="dxa" w:w="4968"/>
            <w:shd w:fill="DCE6F1"/>
            <w:tcMar>
              <w:top w:w="105" w:type="dxa"/>
              <w:start w:w="105" w:type="dxa"/>
              <w:bottom w:w="105" w:type="dxa"/>
              <w:end w:w="105" w:type="dxa"/>
            </w:tcMar>
            <w:vAlign w:val="center"/>
          </w:tcPr>
          <w:p>
            <w:r>
              <w:rPr>
                <w:b/>
              </w:rPr>
              <w:t>Progress updates</w:t>
            </w:r>
          </w:p>
        </w:tc>
        <w:tc>
          <w:tcPr>
            <w:tcW w:type="dxa" w:w="4968"/>
            <w:tcMar>
              <w:top w:w="105" w:type="dxa"/>
              <w:start w:w="105" w:type="dxa"/>
              <w:bottom w:w="105" w:type="dxa"/>
              <w:end w:w="105" w:type="dxa"/>
            </w:tcMar>
            <w:vAlign w:val="center"/>
          </w:tcPr>
          <w:p>
            <w:r>
              <w:t>At least once every 48–72 hours while work is active</w:t>
            </w:r>
          </w:p>
        </w:tc>
      </w:tr>
      <w:tr>
        <w:tc>
          <w:tcPr>
            <w:tcW w:type="dxa" w:w="4968"/>
            <w:shd w:fill="DCE6F1"/>
            <w:tcMar>
              <w:top w:w="105" w:type="dxa"/>
              <w:start w:w="105" w:type="dxa"/>
              <w:bottom w:w="105" w:type="dxa"/>
              <w:end w:w="105" w:type="dxa"/>
            </w:tcMar>
            <w:vAlign w:val="center"/>
          </w:tcPr>
          <w:p>
            <w:r>
              <w:rPr>
                <w:b/>
              </w:rPr>
              <w:t>Visible checkpoint</w:t>
            </w:r>
          </w:p>
        </w:tc>
        <w:tc>
          <w:tcPr>
            <w:tcW w:type="dxa" w:w="4968"/>
            <w:shd w:fill="F2F6FA"/>
            <w:tcMar>
              <w:top w:w="105" w:type="dxa"/>
              <w:start w:w="105" w:type="dxa"/>
              <w:bottom w:w="105" w:type="dxa"/>
              <w:end w:w="105" w:type="dxa"/>
            </w:tcMar>
            <w:vAlign w:val="center"/>
          </w:tcPr>
          <w:p>
            <w:r>
              <w:t>Branch activity or draft pull request by September 28, 2026</w:t>
            </w:r>
          </w:p>
        </w:tc>
      </w:tr>
      <w:tr>
        <w:tc>
          <w:tcPr>
            <w:tcW w:type="dxa" w:w="4968"/>
            <w:shd w:fill="DCE6F1"/>
            <w:tcMar>
              <w:top w:w="105" w:type="dxa"/>
              <w:start w:w="105" w:type="dxa"/>
              <w:bottom w:w="105" w:type="dxa"/>
              <w:end w:w="105" w:type="dxa"/>
            </w:tcMar>
            <w:vAlign w:val="center"/>
          </w:tcPr>
          <w:p>
            <w:r>
              <w:rPr>
                <w:b/>
              </w:rPr>
              <w:t>Working pull request due</w:t>
            </w:r>
          </w:p>
        </w:tc>
        <w:tc>
          <w:tcPr>
            <w:tcW w:type="dxa" w:w="4968"/>
            <w:tcMar>
              <w:top w:w="105" w:type="dxa"/>
              <w:start w:w="105" w:type="dxa"/>
              <w:bottom w:w="105" w:type="dxa"/>
              <w:end w:w="105" w:type="dxa"/>
            </w:tcMar>
            <w:vAlign w:val="center"/>
          </w:tcPr>
          <w:p>
            <w:r>
              <w:t>October 2, 2026</w:t>
            </w:r>
          </w:p>
        </w:tc>
      </w:tr>
    </w:tbl>
    <w:p>
      <w:pPr>
        <w:pStyle w:val="Heading1"/>
      </w:pPr>
      <w:r>
        <w:t>Purpose and fairness standard</w:t>
      </w:r>
    </w:p>
    <w:p>
      <w:r>
        <w:t>This self-assignment records the same level of responsibility expected of the other team members. It distinguishes work already completed from work still due, gives Nathan a focused coding deliverable, and documents the project-lead support owed to Cat and Steeve while they complete their first coding assignments.</w:t>
      </w:r>
    </w:p>
    <w:p>
      <w:r>
        <w:t>Nathan is subject to the same internal dates, visible-progress expectations, blocker reporting, automated verification, pull-request review, and evidence requirements as the rest of the team. Project-lead work is part of the assignment; it does not replace the technical deliverable.</w:t>
      </w:r>
    </w:p>
    <w:p>
      <w:pPr>
        <w:pStyle w:val="Heading1"/>
      </w:pPr>
      <w:r>
        <w:t>Foundation completed through September 19, 2026</w:t>
      </w:r>
    </w:p>
    <w:p>
      <w:r>
        <w:t>The following work has been completed to give the team a stable starting point. The Django foundation is currently represented by Pull Request 3 and is not considered part of main until it is reviewed and merged.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5544"/>
        <w:gridCol w:w="2520"/>
      </w:tblGrid>
      <w:tr>
        <w:trPr>
          <w:tblHeader w:val="true"/>
        </w:trPr>
        <w:tc>
          <w:tcPr>
            <w:tcW w:type="dxa" w:w="3312"/>
            <w:shd w:fill="17365D"/>
            <w:tcMar>
              <w:top w:w="105" w:type="dxa"/>
              <w:start w:w="105" w:type="dxa"/>
              <w:bottom w:w="105" w:type="dxa"/>
              <w:end w:w="105" w:type="dxa"/>
            </w:tcMar>
          </w:tcPr>
          <w:p>
            <w:r>
              <w:rPr>
                <w:b/>
                <w:color w:val="FFFFFF"/>
              </w:rPr>
              <w:t>Area</w:t>
            </w:r>
          </w:p>
        </w:tc>
        <w:tc>
          <w:tcPr>
            <w:tcW w:type="dxa" w:w="3312"/>
            <w:shd w:fill="17365D"/>
            <w:tcMar>
              <w:top w:w="105" w:type="dxa"/>
              <w:start w:w="105" w:type="dxa"/>
              <w:bottom w:w="105" w:type="dxa"/>
              <w:end w:w="105" w:type="dxa"/>
            </w:tcMar>
          </w:tcPr>
          <w:p>
            <w:r>
              <w:rPr>
                <w:b/>
                <w:color w:val="FFFFFF"/>
              </w:rPr>
              <w:t>Completed work</w:t>
            </w:r>
          </w:p>
        </w:tc>
        <w:tc>
          <w:tcPr>
            <w:tcW w:type="dxa" w:w="3312"/>
            <w:shd w:fill="17365D"/>
            <w:tcMar>
              <w:top w:w="105" w:type="dxa"/>
              <w:start w:w="105" w:type="dxa"/>
              <w:bottom w:w="105" w:type="dxa"/>
              <w:end w:w="105" w:type="dxa"/>
            </w:tcMar>
          </w:tcPr>
          <w:p>
            <w:r>
              <w:rPr>
                <w:b/>
                <w:color w:val="FFFFFF"/>
              </w:rPr>
              <w:t>Evidence or status</w:t>
            </w:r>
          </w:p>
        </w:tc>
      </w:tr>
      <w:tr>
        <w:tc>
          <w:tcPr>
            <w:tcW w:type="dxa" w:w="1944"/>
            <w:tcMar>
              <w:top w:w="105" w:type="dxa"/>
              <w:start w:w="105" w:type="dxa"/>
              <w:bottom w:w="105" w:type="dxa"/>
              <w:end w:w="105" w:type="dxa"/>
            </w:tcMar>
            <w:vAlign w:val="center"/>
          </w:tcPr>
          <w:p>
            <w:r>
              <w:t>Repository and workflow</w:t>
            </w:r>
          </w:p>
        </w:tc>
        <w:tc>
          <w:tcPr>
            <w:tcW w:type="dxa" w:w="5544"/>
            <w:tcMar>
              <w:top w:w="105" w:type="dxa"/>
              <w:start w:w="105" w:type="dxa"/>
              <w:bottom w:w="105" w:type="dxa"/>
              <w:end w:w="105" w:type="dxa"/>
            </w:tcMar>
            <w:vAlign w:val="center"/>
          </w:tcPr>
          <w:p>
            <w:r>
              <w:t>Prepared the repository structure, contribution workflow, ignore rules, environment example, setup guidance, and collaboration materials.</w:t>
            </w:r>
          </w:p>
        </w:tc>
        <w:tc>
          <w:tcPr>
            <w:tcW w:type="dxa" w:w="2520"/>
            <w:tcMar>
              <w:top w:w="105" w:type="dxa"/>
              <w:start w:w="105" w:type="dxa"/>
              <w:bottom w:w="105" w:type="dxa"/>
              <w:end w:w="105" w:type="dxa"/>
            </w:tcMar>
            <w:vAlign w:val="center"/>
          </w:tcPr>
          <w:p>
            <w:r>
              <w:t>Tracked project files and documentation</w:t>
            </w:r>
          </w:p>
        </w:tc>
      </w:tr>
      <w:tr>
        <w:tc>
          <w:tcPr>
            <w:tcW w:type="dxa" w:w="1944"/>
            <w:tcMar>
              <w:top w:w="105" w:type="dxa"/>
              <w:start w:w="105" w:type="dxa"/>
              <w:bottom w:w="105" w:type="dxa"/>
              <w:end w:w="105" w:type="dxa"/>
            </w:tcMar>
            <w:vAlign w:val="center"/>
            <w:shd w:fill="F2F6FA"/>
          </w:tcPr>
          <w:p>
            <w:r>
              <w:t>Requirements</w:t>
            </w:r>
          </w:p>
        </w:tc>
        <w:tc>
          <w:tcPr>
            <w:tcW w:type="dxa" w:w="5544"/>
            <w:tcMar>
              <w:top w:w="105" w:type="dxa"/>
              <w:start w:w="105" w:type="dxa"/>
              <w:bottom w:w="105" w:type="dxa"/>
              <w:end w:w="105" w:type="dxa"/>
            </w:tcMar>
            <w:vAlign w:val="center"/>
            <w:shd w:fill="F2F6FA"/>
          </w:tcPr>
          <w:p>
            <w:r>
              <w:t>Helped finalize the SAD and post-submission implementation decisions, including BR-13 through BR-17 and the initial technical defaults.</w:t>
            </w:r>
          </w:p>
        </w:tc>
        <w:tc>
          <w:tcPr>
            <w:tcW w:type="dxa" w:w="2520"/>
            <w:tcMar>
              <w:top w:w="105" w:type="dxa"/>
              <w:start w:w="105" w:type="dxa"/>
              <w:bottom w:w="105" w:type="dxa"/>
              <w:end w:w="105" w:type="dxa"/>
            </w:tcMar>
            <w:vAlign w:val="center"/>
            <w:shd w:fill="F2F6FA"/>
          </w:tcPr>
          <w:p>
            <w:r>
              <w:t>Team design documentation</w:t>
            </w:r>
          </w:p>
        </w:tc>
      </w:tr>
      <w:tr>
        <w:tc>
          <w:tcPr>
            <w:tcW w:type="dxa" w:w="1944"/>
            <w:tcMar>
              <w:top w:w="105" w:type="dxa"/>
              <w:start w:w="105" w:type="dxa"/>
              <w:bottom w:w="105" w:type="dxa"/>
              <w:end w:w="105" w:type="dxa"/>
            </w:tcMar>
            <w:vAlign w:val="center"/>
          </w:tcPr>
          <w:p>
            <w:r>
              <w:t>Django foundation</w:t>
            </w:r>
          </w:p>
        </w:tc>
        <w:tc>
          <w:tcPr>
            <w:tcW w:type="dxa" w:w="5544"/>
            <w:tcMar>
              <w:top w:w="105" w:type="dxa"/>
              <w:start w:w="105" w:type="dxa"/>
              <w:bottom w:w="105" w:type="dxa"/>
              <w:end w:w="105" w:type="dxa"/>
            </w:tcMar>
            <w:vAlign w:val="center"/>
          </w:tcPr>
          <w:p>
            <w:r>
              <w:t>Initialized Django 5.2.17 with Python 3.12, pinned dependencies, environment loading, SQLite development settings, and the accounts, market, and trading apps.</w:t>
            </w:r>
          </w:p>
        </w:tc>
        <w:tc>
          <w:tcPr>
            <w:tcW w:type="dxa" w:w="2520"/>
            <w:tcMar>
              <w:top w:w="105" w:type="dxa"/>
              <w:start w:w="105" w:type="dxa"/>
              <w:bottom w:w="105" w:type="dxa"/>
              <w:end w:w="105" w:type="dxa"/>
            </w:tcMar>
            <w:vAlign w:val="center"/>
          </w:tcPr>
          <w:p>
            <w:r>
              <w:t>PR 3, foundation commit</w:t>
            </w:r>
          </w:p>
        </w:tc>
      </w:tr>
      <w:tr>
        <w:tc>
          <w:tcPr>
            <w:tcW w:type="dxa" w:w="1944"/>
            <w:tcMar>
              <w:top w:w="105" w:type="dxa"/>
              <w:start w:w="105" w:type="dxa"/>
              <w:bottom w:w="105" w:type="dxa"/>
              <w:end w:w="105" w:type="dxa"/>
            </w:tcMar>
            <w:vAlign w:val="center"/>
            <w:shd w:fill="F2F6FA"/>
          </w:tcPr>
          <w:p>
            <w:r>
              <w:t>Shared interface base</w:t>
            </w:r>
          </w:p>
        </w:tc>
        <w:tc>
          <w:tcPr>
            <w:tcW w:type="dxa" w:w="5544"/>
            <w:tcMar>
              <w:top w:w="105" w:type="dxa"/>
              <w:start w:w="105" w:type="dxa"/>
              <w:bottom w:w="105" w:type="dxa"/>
              <w:end w:w="105" w:type="dxa"/>
            </w:tcMar>
            <w:vAlign w:val="center"/>
            <w:shd w:fill="F2F6FA"/>
          </w:tcPr>
          <w:p>
            <w:r>
              <w:t>Added the shared template and static-file structure needed for later page work.</w:t>
            </w:r>
          </w:p>
        </w:tc>
        <w:tc>
          <w:tcPr>
            <w:tcW w:type="dxa" w:w="2520"/>
            <w:tcMar>
              <w:top w:w="105" w:type="dxa"/>
              <w:start w:w="105" w:type="dxa"/>
              <w:bottom w:w="105" w:type="dxa"/>
              <w:end w:w="105" w:type="dxa"/>
            </w:tcMar>
            <w:vAlign w:val="center"/>
            <w:shd w:fill="F2F6FA"/>
          </w:tcPr>
          <w:p>
            <w:r>
              <w:t>PR 3</w:t>
            </w:r>
          </w:p>
        </w:tc>
      </w:tr>
      <w:tr>
        <w:tc>
          <w:tcPr>
            <w:tcW w:type="dxa" w:w="1944"/>
            <w:tcMar>
              <w:top w:w="105" w:type="dxa"/>
              <w:start w:w="105" w:type="dxa"/>
              <w:bottom w:w="105" w:type="dxa"/>
              <w:end w:w="105" w:type="dxa"/>
            </w:tcMar>
            <w:vAlign w:val="center"/>
          </w:tcPr>
          <w:p>
            <w:r>
              <w:t>Authentication</w:t>
            </w:r>
          </w:p>
        </w:tc>
        <w:tc>
          <w:tcPr>
            <w:tcW w:type="dxa" w:w="5544"/>
            <w:tcMar>
              <w:top w:w="105" w:type="dxa"/>
              <w:start w:w="105" w:type="dxa"/>
              <w:bottom w:w="105" w:type="dxa"/>
              <w:end w:w="105" w:type="dxa"/>
            </w:tcMar>
            <w:vAlign w:val="center"/>
          </w:tcPr>
          <w:p>
            <w:r>
              <w:t>Added login, logout, protected dashboard behavior, Admin access, and related tests.</w:t>
            </w:r>
          </w:p>
        </w:tc>
        <w:tc>
          <w:tcPr>
            <w:tcW w:type="dxa" w:w="2520"/>
            <w:tcMar>
              <w:top w:w="105" w:type="dxa"/>
              <w:start w:w="105" w:type="dxa"/>
              <w:bottom w:w="105" w:type="dxa"/>
              <w:end w:w="105" w:type="dxa"/>
            </w:tcMar>
            <w:vAlign w:val="center"/>
          </w:tcPr>
          <w:p>
            <w:r>
              <w:t>PR 3, authentication commit</w:t>
            </w:r>
          </w:p>
        </w:tc>
      </w:tr>
      <w:tr>
        <w:tc>
          <w:tcPr>
            <w:tcW w:type="dxa" w:w="1944"/>
            <w:tcMar>
              <w:top w:w="105" w:type="dxa"/>
              <w:start w:w="105" w:type="dxa"/>
              <w:bottom w:w="105" w:type="dxa"/>
              <w:end w:w="105" w:type="dxa"/>
            </w:tcMar>
            <w:vAlign w:val="center"/>
            <w:shd w:fill="F2F6FA"/>
          </w:tcPr>
          <w:p>
            <w:r>
              <w:t>Market foundation</w:t>
            </w:r>
          </w:p>
        </w:tc>
        <w:tc>
          <w:tcPr>
            <w:tcW w:type="dxa" w:w="5544"/>
            <w:tcMar>
              <w:top w:w="105" w:type="dxa"/>
              <w:start w:w="105" w:type="dxa"/>
              <w:bottom w:w="105" w:type="dxa"/>
              <w:end w:w="105" w:type="dxa"/>
            </w:tcMar>
            <w:vAlign w:val="center"/>
            <w:shd w:fill="F2F6FA"/>
          </w:tcPr>
          <w:p>
            <w:r>
              <w:t>Added the Stock model, validation and database constraint, migration, Admin support, authenticated list and detail pages, and tests.</w:t>
            </w:r>
          </w:p>
        </w:tc>
        <w:tc>
          <w:tcPr>
            <w:tcW w:type="dxa" w:w="2520"/>
            <w:tcMar>
              <w:top w:w="105" w:type="dxa"/>
              <w:start w:w="105" w:type="dxa"/>
              <w:bottom w:w="105" w:type="dxa"/>
              <w:end w:w="105" w:type="dxa"/>
            </w:tcMar>
            <w:vAlign w:val="center"/>
            <w:shd w:fill="F2F6FA"/>
          </w:tcPr>
          <w:p>
            <w:r>
              <w:t>PR 3, market commit</w:t>
            </w:r>
          </w:p>
        </w:tc>
      </w:tr>
      <w:tr>
        <w:tc>
          <w:tcPr>
            <w:tcW w:type="dxa" w:w="1944"/>
            <w:tcMar>
              <w:top w:w="105" w:type="dxa"/>
              <w:start w:w="105" w:type="dxa"/>
              <w:bottom w:w="105" w:type="dxa"/>
              <w:end w:w="105" w:type="dxa"/>
            </w:tcMar>
            <w:vAlign w:val="center"/>
          </w:tcPr>
          <w:p>
            <w:r>
              <w:t>Verification</w:t>
            </w:r>
          </w:p>
        </w:tc>
        <w:tc>
          <w:tcPr>
            <w:tcW w:type="dxa" w:w="5544"/>
            <w:tcMar>
              <w:top w:w="105" w:type="dxa"/>
              <w:start w:w="105" w:type="dxa"/>
              <w:bottom w:w="105" w:type="dxa"/>
              <w:end w:w="105" w:type="dxa"/>
            </w:tcMar>
            <w:vAlign w:val="center"/>
          </w:tcPr>
          <w:p>
            <w:r>
              <w:t>Ran Django system checks, migrations checks, and the full automated test suite; 10 tests passed at the final recorded check.</w:t>
            </w:r>
          </w:p>
        </w:tc>
        <w:tc>
          <w:tcPr>
            <w:tcW w:type="dxa" w:w="2520"/>
            <w:tcMar>
              <w:top w:w="105" w:type="dxa"/>
              <w:start w:w="105" w:type="dxa"/>
              <w:bottom w:w="105" w:type="dxa"/>
              <w:end w:w="105" w:type="dxa"/>
            </w:tcMar>
            <w:vAlign w:val="center"/>
          </w:tcPr>
          <w:p>
            <w:r>
              <w:t>Terminal output and PR evidence</w:t>
            </w:r>
          </w:p>
        </w:tc>
      </w:tr>
      <w:tr>
        <w:tc>
          <w:tcPr>
            <w:tcW w:type="dxa" w:w="1944"/>
            <w:tcMar>
              <w:top w:w="105" w:type="dxa"/>
              <w:start w:w="105" w:type="dxa"/>
              <w:bottom w:w="105" w:type="dxa"/>
              <w:end w:w="105" w:type="dxa"/>
            </w:tcMar>
            <w:vAlign w:val="center"/>
            <w:shd w:fill="F2F6FA"/>
          </w:tcPr>
          <w:p>
            <w:r>
              <w:t>Team handoff</w:t>
            </w:r>
          </w:p>
        </w:tc>
        <w:tc>
          <w:tcPr>
            <w:tcW w:type="dxa" w:w="5544"/>
            <w:tcMar>
              <w:top w:w="105" w:type="dxa"/>
              <w:start w:w="105" w:type="dxa"/>
              <w:bottom w:w="105" w:type="dxa"/>
              <w:end w:w="105" w:type="dxa"/>
            </w:tcMar>
            <w:vAlign w:val="center"/>
            <w:shd w:fill="F2F6FA"/>
          </w:tcPr>
          <w:p>
            <w:r>
              <w:t>Created formal Word assignments for Cat and Steeve with scope, acceptance criteria, dates, and verified learning resources.</w:t>
            </w:r>
          </w:p>
        </w:tc>
        <w:tc>
          <w:tcPr>
            <w:tcW w:type="dxa" w:w="2520"/>
            <w:tcMar>
              <w:top w:w="105" w:type="dxa"/>
              <w:start w:w="105" w:type="dxa"/>
              <w:bottom w:w="105" w:type="dxa"/>
              <w:end w:w="105" w:type="dxa"/>
            </w:tcMar>
            <w:vAlign w:val="center"/>
            <w:shd w:fill="F2F6FA"/>
          </w:tcPr>
          <w:p>
            <w:r>
              <w:t>Delivered assignment documents</w:t>
            </w:r>
          </w:p>
        </w:tc>
      </w:tr>
      <w:tr>
        <w:tc>
          <w:tcPr>
            <w:tcW w:type="dxa" w:w="1944"/>
            <w:tcMar>
              <w:top w:w="105" w:type="dxa"/>
              <w:start w:w="105" w:type="dxa"/>
              <w:bottom w:w="105" w:type="dxa"/>
              <w:end w:w="105" w:type="dxa"/>
            </w:tcMar>
            <w:vAlign w:val="center"/>
          </w:tcPr>
          <w:p>
            <w:r>
              <w:t>Review readiness</w:t>
            </w:r>
          </w:p>
        </w:tc>
        <w:tc>
          <w:tcPr>
            <w:tcW w:type="dxa" w:w="5544"/>
            <w:tcMar>
              <w:top w:w="105" w:type="dxa"/>
              <w:start w:w="105" w:type="dxa"/>
              <w:bottom w:w="105" w:type="dxa"/>
              <w:end w:w="105" w:type="dxa"/>
            </w:tcMar>
            <w:vAlign w:val="center"/>
          </w:tcPr>
          <w:p>
            <w:r>
              <w:t>Opened PR 3, attached interface screenshots, and requested Cat’s review before merge.</w:t>
            </w:r>
          </w:p>
        </w:tc>
        <w:tc>
          <w:tcPr>
            <w:tcW w:type="dxa" w:w="2520"/>
            <w:tcMar>
              <w:top w:w="105" w:type="dxa"/>
              <w:start w:w="105" w:type="dxa"/>
              <w:bottom w:w="105" w:type="dxa"/>
              <w:end w:w="105" w:type="dxa"/>
            </w:tcMar>
            <w:vAlign w:val="center"/>
          </w:tcPr>
          <w:p>
            <w:r>
              <w:t>GitHub PR 3</w:t>
            </w:r>
          </w:p>
        </w:tc>
      </w:tr>
    </w:tbl>
    <w:p>
      <w:pPr>
        <w:pStyle w:val="Heading1"/>
      </w:pPr>
      <w:r>
        <w:t>Self-assigned technical result</w:t>
      </w:r>
    </w:p>
    <w:p>
      <w:r>
        <w:t>Build the market-simulation backend needed by the next phase of trading development. The result should know whether the simulated market is open, support administrator-defined schedule exceptions, update stock prices at a controlled interval, and preserve a price-history record for every accepted update.</w:t>
      </w:r>
    </w:p>
    <w:p>
      <w:pPr>
        <w:spacing w:after="40"/>
        <w:ind w:left="360" w:hanging="230"/>
      </w:pPr>
      <w:r>
        <w:t>• A MarketException model for full-day closures and special trading hours.</w:t>
      </w:r>
    </w:p>
    <w:p>
      <w:pPr>
        <w:spacing w:after="40"/>
        <w:ind w:left="360" w:hanging="230"/>
      </w:pPr>
      <w:r>
        <w:t>• A PriceHistory model that records each accepted stock-price change.</w:t>
      </w:r>
    </w:p>
    <w:p>
      <w:pPr>
        <w:spacing w:after="40"/>
        <w:ind w:left="360" w:hanging="230"/>
      </w:pPr>
      <w:r>
        <w:t>• A testable service layer for market-hours decisions and simulated price updates.</w:t>
      </w:r>
    </w:p>
    <w:p>
      <w:pPr>
        <w:spacing w:after="40"/>
        <w:ind w:left="360" w:hanging="230"/>
      </w:pPr>
      <w:r>
        <w:t>• Django Admin support for schedule exceptions and price-history inspection.</w:t>
      </w:r>
    </w:p>
    <w:p>
      <w:pPr>
        <w:spacing w:after="40"/>
        <w:ind w:left="360" w:hanging="230"/>
      </w:pPr>
      <w:r>
        <w:t>• Migrations and deterministic automated tests covering the required rules.</w:t>
      </w:r>
    </w:p>
    <w:p>
      <w:pPr>
        <w:spacing w:after="40"/>
        <w:ind w:left="360" w:hanging="230"/>
      </w:pPr>
      <w:r>
        <w:t>• A reviewed pull request containing the focused market-simulation work.</w:t>
      </w:r>
    </w:p>
    <w:p>
      <w:pPr>
        <w:pStyle w:val="Heading1"/>
      </w:pPr>
      <w:r>
        <w:t>Owned scope and likely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240"/>
        <w:gridCol w:w="4608"/>
      </w:tblGrid>
      <w:tr>
        <w:trPr>
          <w:tblHeader w:val="true"/>
        </w:trPr>
        <w:tc>
          <w:tcPr>
            <w:tcW w:type="dxa" w:w="3312"/>
            <w:shd w:fill="17365D"/>
            <w:tcMar>
              <w:top w:w="105" w:type="dxa"/>
              <w:start w:w="105" w:type="dxa"/>
              <w:bottom w:w="105" w:type="dxa"/>
              <w:end w:w="105" w:type="dxa"/>
            </w:tcMar>
          </w:tcPr>
          <w:p>
            <w:r>
              <w:rPr>
                <w:b/>
                <w:color w:val="FFFFFF"/>
              </w:rPr>
              <w:t>Area</w:t>
            </w:r>
          </w:p>
        </w:tc>
        <w:tc>
          <w:tcPr>
            <w:tcW w:type="dxa" w:w="3312"/>
            <w:shd w:fill="17365D"/>
            <w:tcMar>
              <w:top w:w="105" w:type="dxa"/>
              <w:start w:w="105" w:type="dxa"/>
              <w:bottom w:w="105" w:type="dxa"/>
              <w:end w:w="105" w:type="dxa"/>
            </w:tcMar>
          </w:tcPr>
          <w:p>
            <w:r>
              <w:rPr>
                <w:b/>
                <w:color w:val="FFFFFF"/>
              </w:rPr>
              <w:t>Likely location</w:t>
            </w:r>
          </w:p>
        </w:tc>
        <w:tc>
          <w:tcPr>
            <w:tcW w:type="dxa" w:w="3312"/>
            <w:shd w:fill="17365D"/>
            <w:tcMar>
              <w:top w:w="105" w:type="dxa"/>
              <w:start w:w="105" w:type="dxa"/>
              <w:bottom w:w="105" w:type="dxa"/>
              <w:end w:w="105" w:type="dxa"/>
            </w:tcMar>
          </w:tcPr>
          <w:p>
            <w:r>
              <w:rPr>
                <w:b/>
                <w:color w:val="FFFFFF"/>
              </w:rPr>
              <w:t>Responsibility</w:t>
            </w:r>
          </w:p>
        </w:tc>
      </w:tr>
      <w:tr>
        <w:tc>
          <w:tcPr>
            <w:tcW w:type="dxa" w:w="2160"/>
            <w:tcMar>
              <w:top w:w="105" w:type="dxa"/>
              <w:start w:w="105" w:type="dxa"/>
              <w:bottom w:w="105" w:type="dxa"/>
              <w:end w:w="105" w:type="dxa"/>
            </w:tcMar>
            <w:vAlign w:val="center"/>
          </w:tcPr>
          <w:p>
            <w:r>
              <w:t>Data models</w:t>
            </w:r>
          </w:p>
        </w:tc>
        <w:tc>
          <w:tcPr>
            <w:tcW w:type="dxa" w:w="3240"/>
            <w:tcMar>
              <w:top w:w="105" w:type="dxa"/>
              <w:start w:w="105" w:type="dxa"/>
              <w:bottom w:w="105" w:type="dxa"/>
              <w:end w:w="105" w:type="dxa"/>
            </w:tcMar>
            <w:vAlign w:val="center"/>
          </w:tcPr>
          <w:p>
            <w:r>
              <w:t>market/models.py</w:t>
            </w:r>
          </w:p>
        </w:tc>
        <w:tc>
          <w:tcPr>
            <w:tcW w:type="dxa" w:w="4608"/>
            <w:tcMar>
              <w:top w:w="105" w:type="dxa"/>
              <w:start w:w="105" w:type="dxa"/>
              <w:bottom w:w="105" w:type="dxa"/>
              <w:end w:w="105" w:type="dxa"/>
            </w:tcMar>
            <w:vAlign w:val="center"/>
          </w:tcPr>
          <w:p>
            <w:r>
              <w:t>Add MarketException and PriceHistory without changing the existing Stock contract unnecessarily.</w:t>
            </w:r>
          </w:p>
        </w:tc>
      </w:tr>
      <w:tr>
        <w:tc>
          <w:tcPr>
            <w:tcW w:type="dxa" w:w="2160"/>
            <w:tcMar>
              <w:top w:w="105" w:type="dxa"/>
              <w:start w:w="105" w:type="dxa"/>
              <w:bottom w:w="105" w:type="dxa"/>
              <w:end w:w="105" w:type="dxa"/>
            </w:tcMar>
            <w:vAlign w:val="center"/>
            <w:shd w:fill="F2F6FA"/>
          </w:tcPr>
          <w:p>
            <w:r>
              <w:t>Migration</w:t>
            </w:r>
          </w:p>
        </w:tc>
        <w:tc>
          <w:tcPr>
            <w:tcW w:type="dxa" w:w="3240"/>
            <w:tcMar>
              <w:top w:w="105" w:type="dxa"/>
              <w:start w:w="105" w:type="dxa"/>
              <w:bottom w:w="105" w:type="dxa"/>
              <w:end w:w="105" w:type="dxa"/>
            </w:tcMar>
            <w:vAlign w:val="center"/>
            <w:shd w:fill="F2F6FA"/>
          </w:tcPr>
          <w:p>
            <w:r>
              <w:t>market/migrations/</w:t>
            </w:r>
          </w:p>
        </w:tc>
        <w:tc>
          <w:tcPr>
            <w:tcW w:type="dxa" w:w="4608"/>
            <w:tcMar>
              <w:top w:w="105" w:type="dxa"/>
              <w:start w:w="105" w:type="dxa"/>
              <w:bottom w:w="105" w:type="dxa"/>
              <w:end w:w="105" w:type="dxa"/>
            </w:tcMar>
            <w:vAlign w:val="center"/>
            <w:shd w:fill="F2F6FA"/>
          </w:tcPr>
          <w:p>
            <w:r>
              <w:t>Commit the generated schema migration and verify it applies cleanly.</w:t>
            </w:r>
          </w:p>
        </w:tc>
      </w:tr>
      <w:tr>
        <w:tc>
          <w:tcPr>
            <w:tcW w:type="dxa" w:w="2160"/>
            <w:tcMar>
              <w:top w:w="105" w:type="dxa"/>
              <w:start w:w="105" w:type="dxa"/>
              <w:bottom w:w="105" w:type="dxa"/>
              <w:end w:w="105" w:type="dxa"/>
            </w:tcMar>
            <w:vAlign w:val="center"/>
          </w:tcPr>
          <w:p>
            <w:r>
              <w:t>Service layer</w:t>
            </w:r>
          </w:p>
        </w:tc>
        <w:tc>
          <w:tcPr>
            <w:tcW w:type="dxa" w:w="3240"/>
            <w:tcMar>
              <w:top w:w="105" w:type="dxa"/>
              <w:start w:w="105" w:type="dxa"/>
              <w:bottom w:w="105" w:type="dxa"/>
              <w:end w:w="105" w:type="dxa"/>
            </w:tcMar>
            <w:vAlign w:val="center"/>
          </w:tcPr>
          <w:p>
            <w:r>
              <w:t>market/services.py</w:t>
            </w:r>
          </w:p>
        </w:tc>
        <w:tc>
          <w:tcPr>
            <w:tcW w:type="dxa" w:w="4608"/>
            <w:tcMar>
              <w:top w:w="105" w:type="dxa"/>
              <w:start w:w="105" w:type="dxa"/>
              <w:bottom w:w="105" w:type="dxa"/>
              <w:end w:w="105" w:type="dxa"/>
            </w:tcMar>
            <w:vAlign w:val="center"/>
          </w:tcPr>
          <w:p>
            <w:r>
              <w:t>Implement market schedule evaluation and controlled price updates as reusable functions.</w:t>
            </w:r>
          </w:p>
        </w:tc>
      </w:tr>
      <w:tr>
        <w:tc>
          <w:tcPr>
            <w:tcW w:type="dxa" w:w="2160"/>
            <w:tcMar>
              <w:top w:w="105" w:type="dxa"/>
              <w:start w:w="105" w:type="dxa"/>
              <w:bottom w:w="105" w:type="dxa"/>
              <w:end w:w="105" w:type="dxa"/>
            </w:tcMar>
            <w:vAlign w:val="center"/>
            <w:shd w:fill="F2F6FA"/>
          </w:tcPr>
          <w:p>
            <w:r>
              <w:t>Admin</w:t>
            </w:r>
          </w:p>
        </w:tc>
        <w:tc>
          <w:tcPr>
            <w:tcW w:type="dxa" w:w="3240"/>
            <w:tcMar>
              <w:top w:w="105" w:type="dxa"/>
              <w:start w:w="105" w:type="dxa"/>
              <w:bottom w:w="105" w:type="dxa"/>
              <w:end w:w="105" w:type="dxa"/>
            </w:tcMar>
            <w:vAlign w:val="center"/>
            <w:shd w:fill="F2F6FA"/>
          </w:tcPr>
          <w:p>
            <w:r>
              <w:t>market/admin.py</w:t>
            </w:r>
          </w:p>
        </w:tc>
        <w:tc>
          <w:tcPr>
            <w:tcW w:type="dxa" w:w="4608"/>
            <w:tcMar>
              <w:top w:w="105" w:type="dxa"/>
              <w:start w:w="105" w:type="dxa"/>
              <w:bottom w:w="105" w:type="dxa"/>
              <w:end w:w="105" w:type="dxa"/>
            </w:tcMar>
            <w:vAlign w:val="center"/>
            <w:shd w:fill="F2F6FA"/>
          </w:tcPr>
          <w:p>
            <w:r>
              <w:t>Allow exception management and largely read-only history inspection.</w:t>
            </w:r>
          </w:p>
        </w:tc>
      </w:tr>
      <w:tr>
        <w:tc>
          <w:tcPr>
            <w:tcW w:type="dxa" w:w="2160"/>
            <w:tcMar>
              <w:top w:w="105" w:type="dxa"/>
              <w:start w:w="105" w:type="dxa"/>
              <w:bottom w:w="105" w:type="dxa"/>
              <w:end w:w="105" w:type="dxa"/>
            </w:tcMar>
            <w:vAlign w:val="center"/>
          </w:tcPr>
          <w:p>
            <w:r>
              <w:t>Tests</w:t>
            </w:r>
          </w:p>
        </w:tc>
        <w:tc>
          <w:tcPr>
            <w:tcW w:type="dxa" w:w="3240"/>
            <w:tcMar>
              <w:top w:w="105" w:type="dxa"/>
              <w:start w:w="105" w:type="dxa"/>
              <w:bottom w:w="105" w:type="dxa"/>
              <w:end w:w="105" w:type="dxa"/>
            </w:tcMar>
            <w:vAlign w:val="center"/>
          </w:tcPr>
          <w:p>
            <w:r>
              <w:t>market/tests.py or market/tests/</w:t>
            </w:r>
          </w:p>
        </w:tc>
        <w:tc>
          <w:tcPr>
            <w:tcW w:type="dxa" w:w="4608"/>
            <w:tcMar>
              <w:top w:w="105" w:type="dxa"/>
              <w:start w:w="105" w:type="dxa"/>
              <w:bottom w:w="105" w:type="dxa"/>
              <w:end w:w="105" w:type="dxa"/>
            </w:tcMar>
            <w:vAlign w:val="center"/>
          </w:tcPr>
          <w:p>
            <w:r>
              <w:t>Cover models, schedule rules, price updates, timing limits, history, and failure behavior.</w:t>
            </w:r>
          </w:p>
        </w:tc>
      </w:tr>
    </w:tbl>
    <w:p>
      <w:r>
        <w:t>Use a branch such as feature/market-simulation-foundation. If the exact file organization changes during implementation, preserve the functional boundary and explain the decision in the pull request.</w:t>
      </w:r>
    </w:p>
    <w:p>
      <w:pPr>
        <w:pStyle w:val="Heading1"/>
      </w:pPr>
      <w:r>
        <w:t>Required data behavior</w:t>
      </w:r>
    </w:p>
    <w:p>
      <w:pPr>
        <w:pStyle w:val="Heading2"/>
      </w:pPr>
      <w:r>
        <w:t>MarketException</w:t>
      </w:r>
    </w:p>
    <w:p>
      <w:pPr>
        <w:spacing w:after="40"/>
        <w:ind w:left="360" w:hanging="230"/>
      </w:pPr>
      <w:r>
        <w:t>• Store one unique calendar date per exception.</w:t>
      </w:r>
    </w:p>
    <w:p>
      <w:pPr>
        <w:spacing w:after="40"/>
        <w:ind w:left="360" w:hanging="230"/>
      </w:pPr>
      <w:r>
        <w:t>• Represent either a full-day closure or a special opening-and-closing window.</w:t>
      </w:r>
    </w:p>
    <w:p>
      <w:pPr>
        <w:spacing w:after="40"/>
        <w:ind w:left="360" w:hanging="230"/>
      </w:pPr>
      <w:r>
        <w:t>• Require both opening and closing times for a special-hours date, with closing later than opening.</w:t>
      </w:r>
    </w:p>
    <w:p>
      <w:pPr>
        <w:spacing w:after="40"/>
        <w:ind w:left="360" w:hanging="230"/>
      </w:pPr>
      <w:r>
        <w:t>• Reject contradictory or incomplete exception records through model validation and practical database constraints.</w:t>
      </w:r>
    </w:p>
    <w:p>
      <w:pPr>
        <w:pStyle w:val="Heading2"/>
      </w:pPr>
      <w:r>
        <w:t>PriceHistory</w:t>
      </w:r>
    </w:p>
    <w:p>
      <w:pPr>
        <w:spacing w:after="40"/>
        <w:ind w:left="360" w:hanging="230"/>
      </w:pPr>
      <w:r>
        <w:t>• Relate each entry to the existing Stock model and protect referenced stock records from deletion.</w:t>
      </w:r>
    </w:p>
    <w:p>
      <w:pPr>
        <w:spacing w:after="40"/>
        <w:ind w:left="360" w:hanging="230"/>
      </w:pPr>
      <w:r>
        <w:t>• Record the previous price, new price, percentage change, and effective timestamp.</w:t>
      </w:r>
    </w:p>
    <w:p>
      <w:pPr>
        <w:spacing w:after="40"/>
        <w:ind w:left="360" w:hanging="230"/>
      </w:pPr>
      <w:r>
        <w:t>• Use DecimalField values for prices and percentage data; do not use float fields for stored money.</w:t>
      </w:r>
    </w:p>
    <w:p>
      <w:pPr>
        <w:spacing w:after="40"/>
        <w:ind w:left="360" w:hanging="230"/>
      </w:pPr>
      <w:r>
        <w:t>• Return history newest first and provide a clear reverse relationship from Stock.</w:t>
      </w:r>
    </w:p>
    <w:p>
      <w:pPr>
        <w:pStyle w:val="Heading1"/>
      </w:pPr>
      <w:r>
        <w:t>Market schedule rules</w:t>
      </w:r>
    </w:p>
    <w:p>
      <w:pPr>
        <w:spacing w:after="40"/>
        <w:ind w:left="360" w:hanging="230"/>
      </w:pPr>
      <w:r>
        <w:t>• The default simulated market schedule is Monday through Friday, 9:30 a.m. through 4:00 p.m. in America/New_York.</w:t>
      </w:r>
    </w:p>
    <w:p>
      <w:pPr>
        <w:spacing w:after="40"/>
        <w:ind w:left="360" w:hanging="230"/>
      </w:pPr>
      <w:r>
        <w:t>• Weekends are closed unless a future requirement explicitly changes that rule.</w:t>
      </w:r>
    </w:p>
    <w:p>
      <w:pPr>
        <w:spacing w:after="40"/>
        <w:ind w:left="360" w:hanging="230"/>
      </w:pPr>
      <w:r>
        <w:t>• An exception record for a date takes precedence over the default schedule.</w:t>
      </w:r>
    </w:p>
    <w:p>
      <w:pPr>
        <w:spacing w:after="40"/>
        <w:ind w:left="360" w:hanging="230"/>
      </w:pPr>
      <w:r>
        <w:t>• A full-day closure is never open; a special-hours date is open only inside its saved time window.</w:t>
      </w:r>
    </w:p>
    <w:p>
      <w:pPr>
        <w:spacing w:after="40"/>
        <w:ind w:left="360" w:hanging="230"/>
      </w:pPr>
      <w:r>
        <w:t>• All decisions use timezone-aware datetimes and behave correctly across daylight-saving transitions.</w:t>
      </w:r>
    </w:p>
    <w:p>
      <w:pPr>
        <w:spacing w:after="40"/>
        <w:ind w:left="360" w:hanging="230"/>
      </w:pPr>
      <w:r>
        <w:t>• The service must permit an explicit time value in tests so results do not depend on the computer clock.</w:t>
      </w:r>
    </w:p>
    <w:p>
      <w:pPr>
        <w:pStyle w:val="Heading1"/>
      </w:pPr>
      <w:r>
        <w:t>Simulated price-update rules</w:t>
      </w:r>
    </w:p>
    <w:p>
      <w:pPr>
        <w:spacing w:after="40"/>
        <w:ind w:left="360" w:hanging="230"/>
      </w:pPr>
      <w:r>
        <w:t>• Outside market hours, return the stored stock price without changing the database.</w:t>
      </w:r>
    </w:p>
    <w:p>
      <w:pPr>
        <w:spacing w:after="40"/>
        <w:ind w:left="360" w:hanging="230"/>
      </w:pPr>
      <w:r>
        <w:t>• Do not update the same stock more than once within a default 60-second minimum interval.</w:t>
      </w:r>
    </w:p>
    <w:p>
      <w:pPr>
        <w:spacing w:after="40"/>
        <w:ind w:left="360" w:hanging="230"/>
      </w:pPr>
      <w:r>
        <w:t>• For an eligible update, generate a bounded percentage change with a default range of negative 1 percent through positive 1 percent.</w:t>
      </w:r>
    </w:p>
    <w:p>
      <w:pPr>
        <w:spacing w:after="40"/>
        <w:ind w:left="360" w:hanging="230"/>
      </w:pPr>
      <w:r>
        <w:t>• Round the resulting price to cents and never allow a price below $0.01.</w:t>
      </w:r>
    </w:p>
    <w:p>
      <w:pPr>
        <w:spacing w:after="40"/>
        <w:ind w:left="360" w:hanging="230"/>
      </w:pPr>
      <w:r>
        <w:t>• Save the Stock price and its PriceHistory entry in one atomic database transaction.</w:t>
      </w:r>
    </w:p>
    <w:p>
      <w:pPr>
        <w:spacing w:after="40"/>
        <w:ind w:left="360" w:hanging="230"/>
      </w:pPr>
      <w:r>
        <w:t>• Make the random source injectable or patchable so tests are deterministic and boundary cases can be proved.</w:t>
      </w:r>
    </w:p>
    <w:p>
      <w:pPr>
        <w:spacing w:after="40"/>
        <w:ind w:left="360" w:hanging="230"/>
      </w:pPr>
      <w:r>
        <w:t>• Keep the interval and change bounds understandable and configurable in code; do not add a background scheduler in this assignment.</w:t>
      </w:r>
    </w:p>
    <w:p>
      <w:pPr>
        <w:pStyle w:val="Heading1"/>
      </w:pPr>
      <w:r>
        <w:t>Explicitly out of scope</w:t>
      </w:r>
    </w:p>
    <w:p>
      <w:r>
        <w:t>These exclusions protect the teammates’ assignments and keep the October 2 deliverable reviewable:</w:t>
      </w:r>
    </w:p>
    <w:p>
      <w:pPr>
        <w:spacing w:after="40"/>
        <w:ind w:left="360" w:hanging="230"/>
      </w:pPr>
      <w:r>
        <w:t>• Cat’s shared page styling, Bootstrap layout, navigation design, and page-template work unless a coordinated integration fix is required.</w:t>
      </w:r>
    </w:p>
    <w:p>
      <w:pPr>
        <w:spacing w:after="40"/>
        <w:ind w:left="360" w:hanging="230"/>
      </w:pPr>
      <w:r>
        <w:t>• Steeve’s Portfolio, Holding, Order, and CashTransaction models or their migrations.</w:t>
      </w:r>
    </w:p>
    <w:p>
      <w:pPr>
        <w:spacing w:after="40"/>
        <w:ind w:left="360" w:hanging="230"/>
      </w:pPr>
      <w:r>
        <w:t>• Registration, portfolio, order-entry, transaction-history, or trade-confirmation pages.</w:t>
      </w:r>
    </w:p>
    <w:p>
      <w:pPr>
        <w:spacing w:after="40"/>
        <w:ind w:left="360" w:hanging="230"/>
      </w:pPr>
      <w:r>
        <w:t>• Order submission, reservation, execution, cancellation, deposits, withdrawals, or portfolio initialization services.</w:t>
      </w:r>
    </w:p>
    <w:p>
      <w:pPr>
        <w:spacing w:after="40"/>
        <w:ind w:left="360" w:hanging="230"/>
      </w:pPr>
      <w:r>
        <w:t>• Real brokerage integration, live-market APIs, external quote data, continuous workers, scheduled jobs, or deployment configuration.</w:t>
      </w:r>
    </w:p>
    <w:p>
      <w:pPr>
        <w:spacing w:after="40"/>
        <w:ind w:left="360" w:hanging="230"/>
      </w:pPr>
      <w:r>
        <w:t>• Unrelated refactoring of the project foundation.</w:t>
      </w:r>
    </w:p>
    <w:p>
      <w:r>
        <w:t>Those features depend on stable interfaces from the current assignments. Implementing them now would create merge conflicts, duplicate work, and force decisions before the team has reviewed the underlying contracts.</w:t>
      </w:r>
    </w:p>
    <w:p>
      <w:pPr>
        <w:pStyle w:val="Heading1"/>
      </w:pPr>
      <w:r>
        <w:t>Recommended work path</w:t>
      </w:r>
    </w:p>
    <w:p>
      <w:pPr>
        <w:spacing w:after="40"/>
        <w:ind w:left="360" w:hanging="230"/>
      </w:pPr>
      <w:r>
        <w:t>• Confirm Pull Request 3 is reviewed and merged, update local main, and create the focused feature branch.</w:t>
      </w:r>
    </w:p>
    <w:p>
      <w:pPr>
        <w:spacing w:after="40"/>
        <w:ind w:left="360" w:hanging="230"/>
      </w:pPr>
      <w:r>
        <w:t>• Write down the model fields and service function contracts before implementation so the tests and Admin behavior follow one design.</w:t>
      </w:r>
    </w:p>
    <w:p>
      <w:pPr>
        <w:spacing w:after="40"/>
        <w:ind w:left="360" w:hanging="230"/>
      </w:pPr>
      <w:r>
        <w:t>• Implement and validate MarketException and PriceHistory, then generate the migration.</w:t>
      </w:r>
    </w:p>
    <w:p>
      <w:pPr>
        <w:spacing w:after="40"/>
        <w:ind w:left="360" w:hanging="230"/>
      </w:pPr>
      <w:r>
        <w:t>• Implement the market-hours function with explicit datetime inputs and exception precedence.</w:t>
      </w:r>
    </w:p>
    <w:p>
      <w:pPr>
        <w:spacing w:after="40"/>
        <w:ind w:left="360" w:hanging="230"/>
      </w:pPr>
      <w:r>
        <w:t>• Implement the price-update service with Decimal arithmetic and one atomic transaction.</w:t>
      </w:r>
    </w:p>
    <w:p>
      <w:pPr>
        <w:spacing w:after="40"/>
        <w:ind w:left="360" w:hanging="230"/>
      </w:pPr>
      <w:r>
        <w:t>• Add deterministic tests as each rule is completed rather than postponing all testing until the end.</w:t>
      </w:r>
    </w:p>
    <w:p>
      <w:pPr>
        <w:spacing w:after="40"/>
        <w:ind w:left="360" w:hanging="230"/>
      </w:pPr>
      <w:r>
        <w:t>• Register the new records in Admin, run the complete project checks, and open a draft or working pull request with evidence.</w:t>
      </w:r>
    </w:p>
    <w:p>
      <w:pPr>
        <w:pStyle w:val="Heading1"/>
      </w:pPr>
      <w:r>
        <w:t>Minimum automated test coverage</w:t>
      </w:r>
    </w:p>
    <w:p>
      <w:pPr>
        <w:spacing w:after="40"/>
        <w:ind w:left="360" w:hanging="230"/>
      </w:pPr>
      <w:r>
        <w:t>• Default weekday opening and closing boundaries, plus closed weekend behavior.</w:t>
      </w:r>
    </w:p>
    <w:p>
      <w:pPr>
        <w:spacing w:after="40"/>
        <w:ind w:left="360" w:hanging="230"/>
      </w:pPr>
      <w:r>
        <w:t>• Full-day closure and special-hours exceptions overriding the regular schedule.</w:t>
      </w:r>
    </w:p>
    <w:p>
      <w:pPr>
        <w:spacing w:after="40"/>
        <w:ind w:left="360" w:hanging="230"/>
      </w:pPr>
      <w:r>
        <w:t>• Timezone-aware behavior in America/New_York, including at least one daylight-saving scenario.</w:t>
      </w:r>
    </w:p>
    <w:p>
      <w:pPr>
        <w:spacing w:after="40"/>
        <w:ind w:left="360" w:hanging="230"/>
      </w:pPr>
      <w:r>
        <w:t>• No database update while the market is closed.</w:t>
      </w:r>
    </w:p>
    <w:p>
      <w:pPr>
        <w:spacing w:after="40"/>
        <w:ind w:left="360" w:hanging="230"/>
      </w:pPr>
      <w:r>
        <w:t>• No second update inside the 60-second interval.</w:t>
      </w:r>
    </w:p>
    <w:p>
      <w:pPr>
        <w:spacing w:after="40"/>
        <w:ind w:left="360" w:hanging="230"/>
      </w:pPr>
      <w:r>
        <w:t>• Eligible updates stay within the configured percentage range and never fall below $0.01.</w:t>
      </w:r>
    </w:p>
    <w:p>
      <w:pPr>
        <w:spacing w:after="40"/>
        <w:ind w:left="360" w:hanging="230"/>
      </w:pPr>
      <w:r>
        <w:t>• An accepted update changes Stock and creates the matching PriceHistory record.</w:t>
      </w:r>
    </w:p>
    <w:p>
      <w:pPr>
        <w:spacing w:after="40"/>
        <w:ind w:left="360" w:hanging="230"/>
      </w:pPr>
      <w:r>
        <w:t>• A simulated failure does not leave the Stock update and PriceHistory record out of sync.</w:t>
      </w:r>
    </w:p>
    <w:p>
      <w:pPr>
        <w:spacing w:after="40"/>
        <w:ind w:left="360" w:hanging="230"/>
      </w:pPr>
      <w:r>
        <w:t>• Model validation rejects incomplete or invalid special-hours exceptions.</w:t>
      </w:r>
    </w:p>
    <w:p>
      <w:pPr>
        <w:pStyle w:val="Heading1"/>
      </w:pPr>
      <w:r>
        <w:t>Technical acceptance criteria</w:t>
      </w:r>
    </w:p>
    <w:p>
      <w:pPr>
        <w:spacing w:after="20"/>
        <w:ind w:left="360" w:hanging="259"/>
      </w:pPr>
      <w:r>
        <w:t>☐ The migration applies to a clean development database and makemigrations --check reports no uncommitted model changes.</w:t>
      </w:r>
    </w:p>
    <w:p>
      <w:pPr>
        <w:spacing w:after="20"/>
        <w:ind w:left="360" w:hanging="259"/>
      </w:pPr>
      <w:r>
        <w:t>☐ The two new models and service behavior meet the required data, schedule, and update rules.</w:t>
      </w:r>
    </w:p>
    <w:p>
      <w:pPr>
        <w:spacing w:after="20"/>
        <w:ind w:left="360" w:hanging="259"/>
      </w:pPr>
      <w:r>
        <w:t>☐ Money calculations use Decimal and updates use transaction.atomic().</w:t>
      </w:r>
    </w:p>
    <w:p>
      <w:pPr>
        <w:spacing w:after="20"/>
        <w:ind w:left="360" w:hanging="259"/>
      </w:pPr>
      <w:r>
        <w:t>☐ Tests do not depend on the actual current clock or uncontrolled randomness.</w:t>
      </w:r>
    </w:p>
    <w:p>
      <w:pPr>
        <w:spacing w:after="20"/>
        <w:ind w:left="360" w:hanging="259"/>
      </w:pPr>
      <w:r>
        <w:t>☐ The entire project test suite passes, not only the newly added market tests.</w:t>
      </w:r>
    </w:p>
    <w:p>
      <w:pPr>
        <w:spacing w:after="20"/>
        <w:ind w:left="360" w:hanging="259"/>
      </w:pPr>
      <w:r>
        <w:t>☐ No secrets, local database, virtual environment, or generated cache files are committed.</w:t>
      </w:r>
    </w:p>
    <w:p>
      <w:pPr>
        <w:spacing w:after="20"/>
        <w:ind w:left="360" w:hanging="259"/>
      </w:pPr>
      <w:r>
        <w:t>☐ The pull request remains focused and receives review from another team member before merge.</w:t>
      </w:r>
    </w:p>
    <w:p>
      <w:pPr>
        <w:pStyle w:val="Heading1"/>
      </w:pPr>
      <w:r>
        <w:t>Project-lead and teammate-support responsibilities</w:t>
      </w:r>
    </w:p>
    <w:p>
      <w:r>
        <w:t>Between September 19 and October 2, Nathan will complete the following support work in parallel with the technical assignment:</w:t>
      </w:r>
    </w:p>
    <w:p>
      <w:pPr>
        <w:spacing w:after="40"/>
        <w:ind w:left="360" w:hanging="230"/>
      </w:pPr>
      <w:r>
        <w:t>• Complete the Pull Request 3 review-and-merge process and tell the team when main is ready to synchronize.</w:t>
      </w:r>
    </w:p>
    <w:p>
      <w:pPr>
        <w:spacing w:after="40"/>
        <w:ind w:left="360" w:hanging="230"/>
      </w:pPr>
      <w:r>
        <w:t>• Deliver each assignment clearly and confirm that Cat and Steeve can clone or update, create their branches, migrate, run the application, and run the current tests.</w:t>
      </w:r>
    </w:p>
    <w:p>
      <w:pPr>
        <w:spacing w:after="40"/>
        <w:ind w:left="360" w:hanging="230"/>
      </w:pPr>
      <w:r>
        <w:t>• Respond to reported blockers within 24 hours when reasonably available, or acknowledge the blocker and state when help will be provided.</w:t>
      </w:r>
    </w:p>
    <w:p>
      <w:pPr>
        <w:spacing w:after="40"/>
        <w:ind w:left="360" w:hanging="230"/>
      </w:pPr>
      <w:r>
        <w:t>• Give guidance on Django concepts and project contracts without taking over a teammate’s assigned implementation.</w:t>
      </w:r>
    </w:p>
    <w:p>
      <w:pPr>
        <w:spacing w:after="40"/>
        <w:ind w:left="360" w:hanging="230"/>
      </w:pPr>
      <w:r>
        <w:t>• Review draft pull requests promptly and provide specific, actionable comments tied to the assignment criteria.</w:t>
      </w:r>
    </w:p>
    <w:p>
      <w:pPr>
        <w:spacing w:after="40"/>
        <w:ind w:left="360" w:hanging="230"/>
      </w:pPr>
      <w:r>
        <w:t>• Protect file and feature boundaries; coordinate any necessary overlap before changes are made.</w:t>
      </w:r>
    </w:p>
    <w:p>
      <w:pPr>
        <w:spacing w:after="40"/>
        <w:ind w:left="360" w:hanging="230"/>
      </w:pPr>
      <w:r>
        <w:t>• Track progress through objective evidence such as commits, branches, pull requests, test output, and documented status updates.</w:t>
      </w:r>
    </w:p>
    <w:p>
      <w:pPr>
        <w:spacing w:after="40"/>
        <w:ind w:left="360" w:hanging="230"/>
      </w:pPr>
      <w:r>
        <w:t>• Record decisions, scope changes, assistance, delays, and recovery actions factually and consistently for all three members.</w:t>
      </w:r>
    </w:p>
    <w:p>
      <w:pPr>
        <w:spacing w:after="40"/>
        <w:ind w:left="360" w:hanging="230"/>
      </w:pPr>
      <w:r>
        <w:t>• Do not silently reassign or complete another member’s work before the agreed checkpoint and recovery process.</w:t>
      </w:r>
    </w:p>
    <w:p>
      <w:pPr>
        <w:spacing w:after="40"/>
        <w:ind w:left="360" w:hanging="230"/>
      </w:pPr>
      <w:r>
        <w:t>• Plan the safest merge order, synchronize after each merge, and run the complete test suite after integration.</w:t>
      </w:r>
    </w:p>
    <w:p>
      <w:pPr>
        <w:pStyle w:val="Heading1"/>
      </w:pPr>
      <w:r>
        <w:t>Nathan’s own accountability and communication</w:t>
      </w:r>
    </w:p>
    <w:p>
      <w:pPr>
        <w:spacing w:after="20"/>
        <w:ind w:left="360" w:hanging="259"/>
      </w:pPr>
      <w:r>
        <w:t>☐ Post a concise progress update at least every 48–72 hours while work is active.</w:t>
      </w:r>
    </w:p>
    <w:p>
      <w:pPr>
        <w:spacing w:after="20"/>
        <w:ind w:left="360" w:hanging="259"/>
      </w:pPr>
      <w:r>
        <w:t>☐ Document a blocker within 24 hours of recognizing it, including what was attempted and what decision or help is needed.</w:t>
      </w:r>
    </w:p>
    <w:p>
      <w:pPr>
        <w:spacing w:after="20"/>
        <w:ind w:left="360" w:hanging="259"/>
      </w:pPr>
      <w:r>
        <w:t>☐ Show visible GitHub progress by September 28 through branch commits or a draft pull request.</w:t>
      </w:r>
    </w:p>
    <w:p>
      <w:pPr>
        <w:spacing w:after="20"/>
        <w:ind w:left="360" w:hanging="259"/>
      </w:pPr>
      <w:r>
        <w:t>☐ Open a working pull request by October 2, even if a clearly identified noncritical item remains.</w:t>
      </w:r>
    </w:p>
    <w:p>
      <w:pPr>
        <w:spacing w:after="20"/>
        <w:ind w:left="360" w:hanging="259"/>
      </w:pPr>
      <w:r>
        <w:t>☐ Request a teammate review and respond to review comments; project-lead status does not substitute for peer review.</w:t>
      </w:r>
    </w:p>
    <w:p>
      <w:pPr>
        <w:spacing w:after="20"/>
        <w:ind w:left="360" w:hanging="259"/>
      </w:pPr>
      <w:r>
        <w:t>☐ If dates or scope must change, document the reason and apply the same standard that would be used for another team member.</w:t>
      </w:r>
    </w:p>
    <w:p>
      <w:pPr>
        <w:pStyle w:val="Heading1"/>
      </w:pPr>
      <w:r>
        <w:t>Verification commands</w:t>
      </w:r>
    </w:p>
    <w:p>
      <w:r>
        <w:t>Run these from the activated project virtual environment before requesting final review:</w:t>
      </w:r>
    </w:p>
    <w:p>
      <w:pPr>
        <w:spacing w:after="20"/>
        <w:ind w:left="504"/>
      </w:pPr>
      <w:r>
        <w:rPr>
          <w:rFonts w:ascii="Consolas" w:hAnsi="Consolas"/>
          <w:sz w:val="19"/>
        </w:rPr>
        <w:t>python manage.py check</w:t>
      </w:r>
    </w:p>
    <w:p>
      <w:pPr>
        <w:spacing w:after="20"/>
        <w:ind w:left="504"/>
      </w:pPr>
      <w:r>
        <w:rPr>
          <w:rFonts w:ascii="Consolas" w:hAnsi="Consolas"/>
          <w:sz w:val="19"/>
        </w:rPr>
        <w:t>python manage.py migrate</w:t>
      </w:r>
    </w:p>
    <w:p>
      <w:pPr>
        <w:spacing w:after="20"/>
        <w:ind w:left="504"/>
      </w:pPr>
      <w:r>
        <w:rPr>
          <w:rFonts w:ascii="Consolas" w:hAnsi="Consolas"/>
          <w:sz w:val="19"/>
        </w:rPr>
        <w:t>python manage.py makemigrations --check</w:t>
      </w:r>
    </w:p>
    <w:p>
      <w:pPr>
        <w:spacing w:after="20"/>
        <w:ind w:left="504"/>
      </w:pPr>
      <w:r>
        <w:rPr>
          <w:rFonts w:ascii="Consolas" w:hAnsi="Consolas"/>
          <w:sz w:val="19"/>
        </w:rPr>
        <w:t>python manage.py test</w:t>
      </w:r>
    </w:p>
    <w:p>
      <w:pPr>
        <w:spacing w:after="20"/>
        <w:ind w:left="504"/>
      </w:pPr>
      <w:r>
        <w:rPr>
          <w:rFonts w:ascii="Consolas" w:hAnsi="Consolas"/>
          <w:sz w:val="19"/>
        </w:rPr>
        <w:t>git diff --check</w:t>
      </w:r>
    </w:p>
    <w:p>
      <w:pPr>
        <w:spacing w:after="20"/>
        <w:ind w:left="504"/>
      </w:pPr>
      <w:r>
        <w:rPr>
          <w:rFonts w:ascii="Consolas" w:hAnsi="Consolas"/>
          <w:sz w:val="19"/>
        </w:rPr>
        <w:t>git status --short</w:t>
      </w:r>
    </w:p>
    <w:p>
      <w:pPr>
        <w:pStyle w:val="Heading1"/>
      </w:pPr>
      <w:r>
        <w:t>Pull-request evidence</w:t>
      </w:r>
    </w:p>
    <w:p>
      <w:pPr>
        <w:spacing w:after="20"/>
        <w:ind w:left="360" w:hanging="259"/>
      </w:pPr>
      <w:r>
        <w:t>☐ A summary of the market-simulation behavior and why it is needed for the next phase.</w:t>
      </w:r>
    </w:p>
    <w:p>
      <w:pPr>
        <w:spacing w:after="20"/>
        <w:ind w:left="360" w:hanging="259"/>
      </w:pPr>
      <w:r>
        <w:t>☐ The migration and a concise description of both new models.</w:t>
      </w:r>
    </w:p>
    <w:p>
      <w:pPr>
        <w:spacing w:after="20"/>
        <w:ind w:left="360" w:hanging="259"/>
      </w:pPr>
      <w:r>
        <w:t>☐ The exact verification commands run and their results.</w:t>
      </w:r>
    </w:p>
    <w:p>
      <w:pPr>
        <w:spacing w:after="20"/>
        <w:ind w:left="360" w:hanging="259"/>
      </w:pPr>
      <w:r>
        <w:t>☐ Evidence that regular hours, exceptions, update timing, price bounds, history creation, and transaction rollback are tested.</w:t>
      </w:r>
    </w:p>
    <w:p>
      <w:pPr>
        <w:spacing w:after="20"/>
        <w:ind w:left="360" w:hanging="259"/>
      </w:pPr>
      <w:r>
        <w:t>☐ Admin screenshots showing an exception record and price-history inspection, if practical.</w:t>
      </w:r>
    </w:p>
    <w:p>
      <w:pPr>
        <w:spacing w:after="20"/>
        <w:ind w:left="360" w:hanging="259"/>
      </w:pPr>
      <w:r>
        <w:t>☐ Any known limitation or deferred decision, stated clearly.</w:t>
      </w:r>
    </w:p>
    <w:p>
      <w:pPr>
        <w:spacing w:after="20"/>
        <w:ind w:left="360" w:hanging="259"/>
      </w:pPr>
      <w:r>
        <w:t>☐ A link to Pull Request 3 when explaining the foundation dependency.</w:t>
      </w:r>
    </w:p>
    <w:p>
      <w:pPr>
        <w:pStyle w:val="Heading1"/>
      </w:pPr>
      <w:r>
        <w:t>Next phase enabled by this assignment</w:t>
      </w:r>
    </w:p>
    <w:p>
      <w:r>
        <w:t>After Cat’s interface foundation, Steeve’s trading models, and Nathan’s market-simulation service are reviewed and integrated, the team can plan the next build phase against stable contracts. Nathan will prepare that integration plan, including atomic portfolio initialization and the trading service layer, but will not implement those features against unmerged teammate work.</w:t>
      </w:r>
    </w:p>
    <w:p>
      <w:pPr>
        <w:spacing w:after="40"/>
        <w:ind w:left="360" w:hanging="230"/>
      </w:pPr>
      <w:r>
        <w:t>• Confirm merged model and template interfaces before assigning dependent pages or services.</w:t>
      </w:r>
    </w:p>
    <w:p>
      <w:pPr>
        <w:spacing w:after="40"/>
        <w:ind w:left="360" w:hanging="230"/>
      </w:pPr>
      <w:r>
        <w:t>• Define atomic registration and portfolio-initialization behavior.</w:t>
      </w:r>
    </w:p>
    <w:p>
      <w:pPr>
        <w:spacing w:after="40"/>
        <w:ind w:left="360" w:hanging="230"/>
      </w:pPr>
      <w:r>
        <w:t>• Define order submission, cash or share reservation, execution, cancellation, and ledger behavior.</w:t>
      </w:r>
    </w:p>
    <w:p>
      <w:pPr>
        <w:spacing w:after="40"/>
        <w:ind w:left="360" w:hanging="230"/>
      </w:pPr>
      <w:r>
        <w:t>• Assign the next phase so responsibilities remain balanced and each task has testable acceptance criteria.</w:t>
      </w:r>
    </w:p>
    <w:p>
      <w:pPr>
        <w:pStyle w:val="Heading1"/>
      </w:pPr>
      <w:r>
        <w:t>Verified learning resources</w:t>
      </w:r>
    </w:p>
    <w:p>
      <w:r>
        <w:t>These official references were checked before inclusion. They are starting points for focused research, not step-by-step instructions.</w:t>
      </w:r>
    </w:p>
    <w:p>
      <w:pPr>
        <w:spacing w:after="40"/>
      </w:pPr>
      <w:hyperlink r:id="rId9">
        <w:r>
          <w:rPr>
            <w:color w:val="0563C1"/>
            <w:u w:val="single"/>
          </w:rPr>
          <w:t>Django 5.2 — Time zones</w:t>
        </w:r>
      </w:hyperlink>
    </w:p>
    <w:p>
      <w:pPr>
        <w:spacing w:after="80"/>
        <w:ind w:left="360"/>
      </w:pPr>
      <w:r>
        <w:t>Use for aware datetimes, conversions, and daylight-saving considerations.</w:t>
      </w:r>
    </w:p>
    <w:p>
      <w:pPr>
        <w:spacing w:after="40"/>
      </w:pPr>
      <w:hyperlink r:id="rId10">
        <w:r>
          <w:rPr>
            <w:color w:val="0563C1"/>
            <w:u w:val="single"/>
          </w:rPr>
          <w:t>Django 5.2 — Database transactions</w:t>
        </w:r>
      </w:hyperlink>
    </w:p>
    <w:p>
      <w:pPr>
        <w:spacing w:after="80"/>
        <w:ind w:left="360"/>
      </w:pPr>
      <w:r>
        <w:t>Use for transaction.atomic() and rollback behavior.</w:t>
      </w:r>
    </w:p>
    <w:p>
      <w:pPr>
        <w:spacing w:after="40"/>
      </w:pPr>
      <w:hyperlink r:id="rId11">
        <w:r>
          <w:rPr>
            <w:color w:val="0563C1"/>
            <w:u w:val="single"/>
          </w:rPr>
          <w:t>Django 5.2 — Constraints reference</w:t>
        </w:r>
      </w:hyperlink>
    </w:p>
    <w:p>
      <w:pPr>
        <w:spacing w:after="80"/>
        <w:ind w:left="360"/>
      </w:pPr>
      <w:r>
        <w:t>Use when expressing database-level integrity rules.</w:t>
      </w:r>
    </w:p>
    <w:p>
      <w:pPr>
        <w:spacing w:after="40"/>
      </w:pPr>
      <w:hyperlink r:id="rId12">
        <w:r>
          <w:rPr>
            <w:color w:val="0563C1"/>
            <w:u w:val="single"/>
          </w:rPr>
          <w:t>Django 5.2 — Migrations</w:t>
        </w:r>
      </w:hyperlink>
    </w:p>
    <w:p>
      <w:pPr>
        <w:spacing w:after="80"/>
        <w:ind w:left="360"/>
      </w:pPr>
      <w:r>
        <w:t>Use for creating, reviewing, applying, and testing schema changes.</w:t>
      </w:r>
    </w:p>
    <w:p>
      <w:pPr>
        <w:spacing w:after="40"/>
      </w:pPr>
      <w:hyperlink r:id="rId13">
        <w:r>
          <w:rPr>
            <w:color w:val="0563C1"/>
            <w:u w:val="single"/>
          </w:rPr>
          <w:t>Django 5.2 — Testing overview</w:t>
        </w:r>
      </w:hyperlink>
    </w:p>
    <w:p>
      <w:pPr>
        <w:spacing w:after="80"/>
        <w:ind w:left="360"/>
      </w:pPr>
      <w:r>
        <w:t>Use for test execution, database isolation, and test organization.</w:t>
      </w:r>
    </w:p>
    <w:p>
      <w:pPr>
        <w:spacing w:after="40"/>
      </w:pPr>
      <w:hyperlink r:id="rId14">
        <w:r>
          <w:rPr>
            <w:color w:val="0563C1"/>
            <w:u w:val="single"/>
          </w:rPr>
          <w:t>Python 3.12 — decimal</w:t>
        </w:r>
      </w:hyperlink>
    </w:p>
    <w:p>
      <w:pPr>
        <w:spacing w:after="80"/>
        <w:ind w:left="360"/>
      </w:pPr>
      <w:r>
        <w:t>Use for exact decimal arithmetic and rounding of currency values.</w:t>
      </w:r>
    </w:p>
    <w:p>
      <w:pPr>
        <w:spacing w:after="40"/>
      </w:pPr>
      <w:hyperlink r:id="rId15">
        <w:r>
          <w:rPr>
            <w:color w:val="0563C1"/>
            <w:u w:val="single"/>
          </w:rPr>
          <w:t>Python 3.12 — random</w:t>
        </w:r>
      </w:hyperlink>
    </w:p>
    <w:p>
      <w:pPr>
        <w:spacing w:after="80"/>
        <w:ind w:left="360"/>
      </w:pPr>
      <w:r>
        <w:t>Use to understand bounded pseudo-random generation; tests should control or replace the random source.</w:t>
      </w:r>
    </w:p>
    <w:p>
      <w:pPr>
        <w:pStyle w:val="Heading1"/>
      </w:pPr>
      <w:r>
        <w:t>Completion standard</w:t>
      </w:r>
    </w:p>
    <w:p>
      <w:r>
        <w:t>This assignment is complete when the technical acceptance criteria are satisfied, the project-lead support obligations have been performed and documented, the working pull request is available by October 2, and another team member has had a fair opportunity to review it. Completion is demonstrated by repository evidence and test results, not by project-lead title or informal status alone.</w:t>
      </w:r>
    </w:p>
    <w:sectPr w:rsidR="00FC693F" w:rsidRPr="0006063C" w:rsidSect="00034616">
      <w:footerReference w:type="default" r:id="rId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IFT 401 Team 2 — Nathan Market Simulation and Project Lead Assignment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djangoproject.com/en/5.2/topics/i18n/timezones/" TargetMode="External"/><Relationship Id="rId10" Type="http://schemas.openxmlformats.org/officeDocument/2006/relationships/hyperlink" Target="https://docs.djangoproject.com/en/5.2/topics/db/transactions/" TargetMode="External"/><Relationship Id="rId11" Type="http://schemas.openxmlformats.org/officeDocument/2006/relationships/hyperlink" Target="https://docs.djangoproject.com/en/5.2/ref/models/constraints/" TargetMode="External"/><Relationship Id="rId12" Type="http://schemas.openxmlformats.org/officeDocument/2006/relationships/hyperlink" Target="https://docs.djangoproject.com/en/5.2/topics/migrations/" TargetMode="External"/><Relationship Id="rId13" Type="http://schemas.openxmlformats.org/officeDocument/2006/relationships/hyperlink" Target="https://docs.djangoproject.com/en/5.2/topics/testing/overview/" TargetMode="External"/><Relationship Id="rId14" Type="http://schemas.openxmlformats.org/officeDocument/2006/relationships/hyperlink" Target="https://docs.python.org/3.12/library/decimal.html" TargetMode="External"/><Relationship Id="rId15" Type="http://schemas.openxmlformats.org/officeDocument/2006/relationships/hyperlink" Target="https://docs.python.org/3.12/library/random.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Simulation and Project Lead Assignment</dc:title>
  <dc:subject>Nathan Able self-assignment through October 2, 2026</dc:subject>
  <dc:creator>Nathan Able</dc:creator>
  <cp:keywords/>
  <dc:description>generated by python-docx</dc:description>
  <cp:lastModifiedBy/>
  <cp:revision>1</cp:revision>
  <dcterms:created xsi:type="dcterms:W3CDTF">2013-12-23T23:15:00Z</dcterms:created>
  <dcterms:modified xsi:type="dcterms:W3CDTF">2013-12-23T23:15:00Z</dcterms:modified>
  <cp:category/>
</cp:coreProperties>
</file>