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d62e249c5ec4d58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Flowchart regression catalogue</w:t>
      </w:r>
    </w:p>
    <w:p>
      <w:pPr>
        <w:pStyle w:val="Normal"/>
      </w:pPr>
      <w:r>
        <w:t xml:space="preserve">Progressive Mermaid </w:t>
      </w:r>
      <w:r>
        <w:rPr>
          <w:b/>
        </w:rPr>
        <w:t xml:space="preserve">flowchart</w:t>
      </w:r>
      <w:r>
        <w:t xml:space="preserve"> scenarios for Markdown → DOCX conversion. Each section increases complexity; scenarios within a section are ordered from simplest to hardest.</w:t>
      </w:r>
    </w:p>
    <w:p>
      <w:pPr>
        <w:pStyle w:val="Heading2"/>
      </w:pPr>
      <w:r>
        <w:t xml:space="preserve">How to use</w:t>
      </w:r>
    </w:p>
    <w:p>
      <w:pPr>
        <w:pStyle w:val="Normal"/>
      </w:pPr>
      <w:r>
        <w:t xml:space="preserve">This file is the </w:t>
      </w:r>
      <w:r>
        <w:rPr>
          <w:b/>
        </w:rPr>
        <w:t xml:space="preserve">complete</w:t>
      </w:r>
      <w:r>
        <w:t xml:space="preserve"> flowchart regression catalogue: </w:t>
      </w:r>
      <w:r>
        <w:rPr>
          <w:b/>
        </w:rPr>
        <w:t xml:space="preserve">60 isolated diagrams (F01–F60)</w:t>
      </w:r>
      <w:r>
        <w:t xml:space="preserve">, one capability per scenario. A single combined diagram cannot exercise every axis (conflicting directions, init blocks, nested layout pairs, and isolated baselines).</w:t>
      </w:r>
    </w:p>
    <w:p>
      <w:pPr>
        <w:pStyle w:val="Heading3"/>
      </w:pPr>
      <w:r>
        <w:t xml:space="preserve">Mandatory gate (mermaid.ink / Mermaid Live)</w:t>
      </w:r>
    </w:p>
    <w:p>
      <w:pPr>
        <w:pStyle w:val="Normal"/>
      </w:pPr>
      <w:r>
        <w:t xml:space="preserve">Every scenario must pass </w:t>
      </w:r>
      <w:r>
        <w:rPr>
          <w:b/>
        </w:rPr>
        <w:t xml:space="preserve">structural</w:t>
      </w:r>
      <w:r>
        <w:t xml:space="preserve"> (labels, edge count, clusters) </w:t>
      </w:r>
      <w:r>
        <w:rPr>
          <w:b/>
        </w:rPr>
        <w:t xml:space="preserve">and</w:t>
      </w:r>
      <w:r>
        <w:t xml:space="preserve"> </w:t>
      </w:r>
      <w:r>
        <w:rPr>
          <w:b/>
        </w:rPr>
        <w:t xml:space="preserve">visual</w:t>
      </w:r>
      <w:r>
        <w:t xml:space="preserve"> (PNG) comparison against mermaid.ink: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build extern/Naiad/src/Naiad/Naiad.csproj -c Release</w:t>
        <w:br/>
        <w:t xml:space="preserve">dotnet run --project src/SvgHarness/SvgHarness.csproj -c Release -- flow.md out/flow-mermaid-ink --reference=mermaid-ink --parallel 2 --report=out/flow-mermaid-ink/report.md</w:t>
      </w:r>
    </w:p>
    <w:p>
      <w:pPr>
        <w:pStyle w:val="Normal"/>
      </w:pPr>
      <w:r>
        <w:t xml:space="preserve">Exit code </w:t>
      </w:r>
      <w:r>
        <w:rPr>
          <w:b/>
        </w:rPr>
        <w:t xml:space="preserve">0</w:t>
      </w:r>
      <w:r>
        <w:t xml:space="preserve"> only when all 60 scenarios PASS. Review </w:t>
      </w:r>
      <w:r>
        <w:rPr>
          <w:rStyle w:val="MdInlineCode"/>
        </w:rPr>
        <w:t xml:space="preserve">out/flow-mermaid-ink/report.md</w:t>
      </w:r>
      <w:r>
        <w:t xml:space="preserve"> and side-by-side artefacts (</w:t>
      </w:r>
      <w:r>
        <w:rPr>
          <w:rStyle w:val="MdInlineCode"/>
        </w:rPr>
        <w:t xml:space="preserve">NNN.naiad.svg</w:t>
      </w:r>
      <w:r>
        <w:t xml:space="preserve"> vs </w:t>
      </w:r>
      <w:r>
        <w:rPr>
          <w:rStyle w:val="MdInlineCode"/>
        </w:rPr>
        <w:t xml:space="preserve">NNN.reference.svg</w:t>
      </w:r>
      <w:r>
        <w:t xml:space="preserve">).</w:t>
      </w:r>
    </w:p>
    <w:p>
      <w:pPr>
        <w:pStyle w:val="Normal"/>
      </w:pPr>
      <w:r>
        <w:t xml:space="preserve">Structural-only check (no reference download):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out/harness --no-reference</w:t>
      </w:r>
    </w:p>
    <w:p>
      <w:pPr>
        <w:pStyle w:val="Heading3"/>
      </w:pPr>
      <w:r>
        <w:t xml:space="preserve">DOCX visual review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rPr>
          <w:b/>
        </w:rPr>
        <w:t xml:space="preserve">Checklist per scenario</w:t>
      </w:r>
    </w:p>
    <w:p>
      <w:pPr>
        <w:pStyle w:val="Normal"/>
        <w:numPr>
          <w:ilvl w:val="0"/>
          <w:numId w:val="3"/>
        </w:numPr>
      </w:pPr>
      <w:r>
        <w:t xml:space="preserve">Nodes and edges present (nothing missing or duplicated)</w:t>
      </w:r>
    </w:p>
    <w:p>
      <w:pPr>
        <w:pStyle w:val="Normal"/>
        <w:numPr>
          <w:ilvl w:val="0"/>
          <w:numId w:val="3"/>
        </w:numPr>
      </w:pPr>
      <w:r>
        <w:t xml:space="preserve">Labels readable (wrap, punctuation, edge labels)</w:t>
      </w:r>
    </w:p>
    <w:p>
      <w:pPr>
        <w:pStyle w:val="Normal"/>
        <w:numPr>
          <w:ilvl w:val="0"/>
          <w:numId w:val="3"/>
        </w:numPr>
      </w:pPr>
      <w:r>
        <w:t xml:space="preserve">Subgraph boxes align with member nodes (no overlap on borders)</w:t>
      </w:r>
    </w:p>
    <w:p>
      <w:pPr>
        <w:pStyle w:val="Normal"/>
        <w:numPr>
          <w:ilvl w:val="0"/>
          <w:numId w:val="3"/>
        </w:numPr>
      </w:pPr>
      <w:r>
        <w:t xml:space="preserve">Arrowheads and line styles match Mermaid</w:t>
      </w:r>
    </w:p>
    <w:p>
      <w:pPr>
        <w:pStyle w:val="Normal"/>
      </w:pPr>
      <w:r>
        <w:rPr>
          <w:b/>
        </w:rPr>
        <w:t xml:space="preserve">Nested subgraph note:</w:t>
      </w:r>
      <w:r>
        <w:t xml:space="preserve"> Nested clusters honour their declared </w:t>
      </w:r>
      <w:r>
        <w:rPr>
          <w:rStyle w:val="MdInlineCode"/>
        </w:rPr>
        <w:t xml:space="preserve">direction</w:t>
      </w:r>
      <w:r>
        <w:t xml:space="preserve"> (e.g. inner </w:t>
      </w:r>
      <w:r>
        <w:rPr>
          <w:rStyle w:val="MdInlineCode"/>
        </w:rPr>
        <w:t xml:space="preserve">direction LR</w:t>
      </w:r>
      <w:r>
        <w:t xml:space="preserve"> inside an outer </w:t>
      </w:r>
      <w:r>
        <w:rPr>
          <w:rStyle w:val="MdInlineCode"/>
        </w:rPr>
        <w:t xml:space="preserve">direction LR</w:t>
      </w:r>
      <w:r>
        <w:t xml:space="preserve"> subgraph).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1 — Syntax and direction</w:t>
      </w:r>
    </w:p>
    <w:p>
      <w:pPr>
        <w:pStyle w:val="Heading3"/>
      </w:pPr>
      <w:r>
        <w:t xml:space="preserve">F01 — </w:t>
      </w:r>
      <w:r>
        <w:rPr>
          <w:rStyle w:val="MdInlineCode"/>
        </w:rPr>
        <w:t xml:space="preserve">graph</w:t>
      </w:r>
      <w:r>
        <w:t xml:space="preserve"> keyword (alias for flowchart)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86a4073ea3e4fe0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F02 — </w:t>
      </w:r>
      <w:r>
        <w:rPr>
          <w:rStyle w:val="MdInlineCode"/>
        </w:rPr>
        <w:t xml:space="preserve">flowchart</w:t>
      </w:r>
      <w:r>
        <w:t xml:space="preserve"> keyword, chained nodes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0db68386d7244d9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F03 — Top to bottom (TB / TD)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3cedc218624d4e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F04 — Left to right (LR)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3ec992447964019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F05 — Bottom to top (BT)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504950" cy="2933700"/>
            <wp:effectExtent l="0" t="0" r="0" b="0"/>
            <wp:docPr id="5" name="Mermaid diagram 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2e33c1f8d1245a9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F06 — Right to left (RL)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6" name="Mermaid diagram 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c264201aebf45cd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F07 — Single node (no edges)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914400"/>
            <wp:effectExtent l="0" t="0" r="0" b="0"/>
            <wp:docPr id="7" name="Mermaid diagram 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aa680f02f76458e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F08 — Two nodes, one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914400"/>
            <wp:effectExtent l="0" t="0" r="0" b="0"/>
            <wp:docPr id="8" name="Mermaid diagram 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30628093a56473d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F09 — Node IDs without labels (ID as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9" name="Mermaid diagram 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e2ed01121bf4bd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F10 — Quoted node labels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33800" cy="914400"/>
            <wp:effectExtent l="0" t="0" r="0" b="0"/>
            <wp:docPr id="10" name="Mermaid diagram 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5e2accf63554cc4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2 — Node shapes</w:t>
      </w:r>
    </w:p>
    <w:p>
      <w:pPr>
        <w:pStyle w:val="Heading3"/>
      </w:pPr>
      <w:r>
        <w:t xml:space="preserve">F11 — Basic shapes (rectangle, rounded, diamond, circle)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578462"/>
            <wp:effectExtent l="0" t="0" r="0" b="0"/>
            <wp:docPr id="11" name="Mermaid diagram 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b3bfd95e3224de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 — Stadium and subroutine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28775" cy="2705100"/>
            <wp:effectExtent l="0" t="0" r="0" b="0"/>
            <wp:docPr id="12" name="Mermaid diagram 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d68be50ce2f45c8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 — Cylinder and database-style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43100" cy="2257425"/>
            <wp:effectExtent l="0" t="0" r="0" b="0"/>
            <wp:docPr id="13" name="Mermaid diagram 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5fa5eba7178476a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F14 — Hexagon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628900" cy="914400"/>
            <wp:effectExtent l="0" t="0" r="0" b="0"/>
            <wp:docPr id="14" name="Mermaid diagram 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eee11fee1514dce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F15 — Asymmetric (flag) shape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914400"/>
            <wp:effectExtent l="0" t="0" r="0" b="0"/>
            <wp:docPr id="15" name="Mermaid diagram 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0146a899df849e5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F16 — Double circle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752725"/>
            <wp:effectExtent l="0" t="0" r="0" b="0"/>
            <wp:docPr id="16" name="Mermaid diagram 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818728a165c4ee7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F17 — Shape catalogue row (smoke test)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01113"/>
            <wp:effectExtent l="0" t="0" r="0" b="0"/>
            <wp:docPr id="17" name="Mermaid diagram 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a2f2c944d2a41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0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3 — Edge types and arrowheads</w:t>
      </w:r>
    </w:p>
    <w:p>
      <w:pPr>
        <w:pStyle w:val="Heading3"/>
      </w:pPr>
      <w:r>
        <w:t xml:space="preserve">F18 — Solid arrow and open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18" name="Mermaid diagram 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7719070390f48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F19 — Dotted arrow and dotted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19" name="Mermaid diagram 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f1f8622365c4e8b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F20 — Thick arrow and thick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20" name="Mermaid diagram 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ea733c82f9f4bf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F21 — Circle end and cross end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21" name="Mermaid diagram 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fbc518103934e2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F22 — Bidirectional arrows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2933700"/>
            <wp:effectExtent l="0" t="0" r="0" b="0"/>
            <wp:docPr id="22" name="Mermaid diagram 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7f48108a06e4b4a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F23 — All edge styles in one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83814" cy="6480000"/>
            <wp:effectExtent l="0" t="0" r="0" b="0"/>
            <wp:docPr id="23" name="Mermaid diagram 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ffba276790a4f34"/>
                    <a:stretch>
                      <a:fillRect/>
                    </a:stretch>
                  </pic:blipFill>
                  <pic:spPr>
                    <a:xfrm>
                      <a:off x="0" y="0"/>
                      <a:ext cx="1983814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F24 — Edge labels (short)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0400" cy="1924050"/>
            <wp:effectExtent l="0" t="0" r="0" b="0"/>
            <wp:docPr id="24" name="Mermaid diagram 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053723be4ba4d6f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F25 — Edge labels with spaces and punctuation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47875" cy="3276600"/>
            <wp:effectExtent l="0" t="0" r="0" b="0"/>
            <wp:docPr id="25" name="Mermaid diagram 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4de90a02f134fef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F26 — Long edge label (wrapping stress)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429125" cy="2057400"/>
            <wp:effectExtent l="0" t="0" r="0" b="0"/>
            <wp:docPr id="26" name="Mermaid diagram 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33295f633c44972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F27 — Chained statement on one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53697"/>
            <wp:effectExtent l="0" t="0" r="0" b="0"/>
            <wp:docPr id="27" name="Mermaid diagram 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1272d328291418b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5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F28 — Min-length / multi-segment link (extra hyphens)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3943350"/>
            <wp:effectExtent l="0" t="0" r="0" b="0"/>
            <wp:docPr id="28" name="Mermaid diagram 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b5f87a9c5e94452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4 — Branching, decisions, and flow control</w:t>
      </w:r>
    </w:p>
    <w:p>
      <w:pPr>
        <w:pStyle w:val="Heading3"/>
      </w:pPr>
      <w:r>
        <w:t xml:space="preserve">F29 — Binary decision (Yes / No)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952750" cy="3352800"/>
            <wp:effectExtent l="0" t="0" r="0" b="0"/>
            <wp:docPr id="29" name="Mermaid diagram 2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49b9b7a2e404653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F30 — Multi-way decision (three branches)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314825" cy="4886325"/>
            <wp:effectExtent l="0" t="0" r="0" b="0"/>
            <wp:docPr id="30" name="Mermaid diagram 3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32d2490d472489b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F31 — Fan-out (one to many)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1924050"/>
            <wp:effectExtent l="0" t="0" r="0" b="0"/>
            <wp:docPr id="31" name="Mermaid diagram 3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4f102d3f6bb4a7a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F32 — Fan-in (many to one)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1924050"/>
            <wp:effectExtent l="0" t="0" r="0" b="0"/>
            <wp:docPr id="32" name="Mermaid diagram 3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f05c1df8c8e48cd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F33 — Parallel workers then join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19166"/>
            <wp:effectExtent l="0" t="0" r="0" b="0"/>
            <wp:docPr id="33" name="Mermaid diagram 3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abcde6b04c3455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1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F34 — Simple cycle (retry loop)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610100" cy="2343150"/>
            <wp:effectExtent l="0" t="0" r="0" b="0"/>
            <wp:docPr id="34" name="Mermaid diagram 3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1e840a33af14e05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F35 — Diamond with multiple incoming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3581400"/>
            <wp:effectExtent l="0" t="0" r="0" b="0"/>
            <wp:docPr id="35" name="Mermaid diagram 3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713127be67545ec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5 — Subgraphs (single level)</w:t>
      </w:r>
    </w:p>
    <w:p>
      <w:pPr>
        <w:pStyle w:val="Heading3"/>
      </w:pPr>
      <w:r>
        <w:t xml:space="preserve">F36 — Single subgraph, default direction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76450" cy="5791200"/>
            <wp:effectExtent l="0" t="0" r="0" b="0"/>
            <wp:docPr id="36" name="Mermaid diagram 3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a563894466a4027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F37 — Subgraph with explicit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514850" cy="4362450"/>
            <wp:effectExtent l="0" t="0" r="0" b="0"/>
            <wp:docPr id="37" name="Mermaid diagram 3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185c5ef85964c1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F38 — Subgraph with </w:t>
      </w:r>
      <w:r>
        <w:rPr>
          <w:rStyle w:val="MdInlineCode"/>
        </w:rPr>
        <w:t xml:space="preserve">direction LR</w:t>
      </w:r>
      <w:r>
        <w:t xml:space="preserve"> inside TB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857750" cy="3771900"/>
            <wp:effectExtent l="0" t="0" r="0" b="0"/>
            <wp:docPr id="38" name="Mermaid diagram 3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6047c37a41f4147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F39 — Subgraph with titled label in brackets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800071"/>
            <wp:effectExtent l="0" t="0" r="0" b="0"/>
            <wp:docPr id="39" name="Mermaid diagram 3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2a92f6fd97d416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F40 — Two sibling subgraphs side by side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788225"/>
            <wp:effectExtent l="0" t="0" r="0" b="0"/>
            <wp:docPr id="40" name="Mermaid diagram 4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05857116c9346a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F41 — Edge from subgraph member to sibling subgraph member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599153"/>
            <wp:effectExtent l="0" t="0" r="0" b="0"/>
            <wp:docPr id="41" name="Mermaid diagram 4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7d2133c768942e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F42 — Long wrapping text inside subgraph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4516077"/>
            <wp:effectExtent l="0" t="0" r="0" b="0"/>
            <wp:docPr id="42" name="Mermaid diagram 4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6ebf9b6956f4beb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1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6 — Nested subgraphs</w:t>
      </w:r>
    </w:p>
    <w:p>
      <w:pPr>
        <w:pStyle w:val="Heading3"/>
      </w:pPr>
      <w:r>
        <w:t xml:space="preserve">F43 — Nested subgraphs (regression: cross-boundary edges)</w:t>
      </w:r>
    </w:p>
    <w:p>
      <w:pPr>
        <w:pStyle w:val="Normal"/>
      </w:pPr>
      <w:r>
        <w:t xml:space="preserve">Reference fixture for nested layout, mixed directions, and member ownership.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81425" cy="6334125"/>
            <wp:effectExtent l="0" t="0" r="0" b="0"/>
            <wp:docPr id="43" name="Mermaid diagram 4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b2e64d6c734451e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F44 — Nested subgraph with inner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657475" cy="6334125"/>
            <wp:effectExtent l="0" t="0" r="0" b="0"/>
            <wp:docPr id="44" name="Mermaid diagram 4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916f23349124988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F45 — Two levels of nesting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42398" cy="6480000"/>
            <wp:effectExtent l="0" t="0" r="0" b="0"/>
            <wp:docPr id="45" name="Mermaid diagram 4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72c78e8c6a14d0b"/>
                    <a:stretch>
                      <a:fillRect/>
                    </a:stretch>
                  </pic:blipFill>
                  <pic:spPr>
                    <a:xfrm>
                      <a:off x="0" y="0"/>
                      <a:ext cx="214239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F46 — Nested subgraph, outer LR, inner LR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065735"/>
            <wp:effectExtent l="0" t="0" r="0" b="0"/>
            <wp:docPr id="46" name="Mermaid diagram 4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19603d5043e449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F47 — Three nodes in nested cluster, chained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84358" cy="6480000"/>
            <wp:effectExtent l="0" t="0" r="0" b="0"/>
            <wp:docPr id="47" name="Mermaid diagram 4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57d10773b8f495f"/>
                    <a:stretch>
                      <a:fillRect/>
                    </a:stretch>
                  </pic:blipFill>
                  <pic:spPr>
                    <a:xfrm>
                      <a:off x="0" y="0"/>
                      <a:ext cx="208435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7 — Labels, text, and special characters</w:t>
      </w:r>
    </w:p>
    <w:p>
      <w:pPr>
        <w:pStyle w:val="Heading3"/>
      </w:pPr>
      <w:r>
        <w:t xml:space="preserve">F48 — Special characters (Mermaid entity codes)</w:t>
      </w:r>
    </w:p>
    <w:p>
      <w:pPr>
        <w:pStyle w:val="Normal"/>
      </w:pPr>
      <w:r>
        <w:t xml:space="preserve">Markdown-style backslash escapes (</w:t>
      </w:r>
      <w:r>
        <w:rPr>
          <w:rStyle w:val="MdInlineCode"/>
        </w:rPr>
        <w:t xml:space="preserve">\\*</w:t>
      </w:r>
      <w:r>
        <w:t xml:space="preserve">, </w:t>
      </w:r>
      <w:r>
        <w:rPr>
          <w:rStyle w:val="MdInlineCode"/>
        </w:rPr>
        <w:t xml:space="preserve">\"</w:t>
      </w:r>
      <w:r>
        <w:t xml:space="preserve">, …) are </w:t>
      </w:r>
      <w:r>
        <w:rPr>
          <w:b/>
        </w:rPr>
        <w:t xml:space="preserve">not</w:t>
      </w:r>
      <w:r>
        <w:t xml:space="preserve"> valid in Mermaid node labels. Use </w:t>
      </w:r>
      <w:hyperlink xmlns:r="http://schemas.openxmlformats.org/officeDocument/2006/relationships" w:history="true" r:id="R37986ccde5b2428f">
        <w:r>
          <w:rPr>
            <w:rStyle w:val="Hyperlink"/>
            <w:color w:val="0563C1"/>
            <w:u w:val="single"/>
          </w:rPr>
          <w:t xml:space="preserve">entity codes</w:t>
        </w:r>
      </w:hyperlink>
      <w:r>
        <w:t xml:space="preserve"> instead (</w:t>
      </w:r>
      <w:r>
        <w:rPr>
          <w:rStyle w:val="MdInlineCode"/>
        </w:rPr>
        <w:t xml:space="preserve">#quot;</w:t>
      </w:r>
      <w:r>
        <w:t xml:space="preserve">, </w:t>
      </w:r>
      <w:r>
        <w:rPr>
          <w:rStyle w:val="MdInlineCode"/>
        </w:rPr>
        <w:t xml:space="preserve">#lt;</w:t>
      </w:r>
      <w:r>
        <w:t xml:space="preserve">, </w:t>
      </w:r>
      <w:r>
        <w:rPr>
          <w:rStyle w:val="MdInlineCode"/>
        </w:rPr>
        <w:t xml:space="preserve">#124;</w:t>
      </w:r>
      <w:r>
        <w:t xml:space="preserve">, …).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3848100"/>
            <wp:effectExtent l="0" t="0" r="0" b="0"/>
            <wp:docPr id="48" name="Mermaid diagram 4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eee5db63a154269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F49 — Line breaks in labels (</w:t>
      </w:r>
      <w:r>
        <w:rPr>
          <w:rStyle w:val="MdInlineCode"/>
        </w:rPr>
        <w:t xml:space="preserve">&lt;br/&gt;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466850" cy="2305050"/>
            <wp:effectExtent l="0" t="0" r="0" b="0"/>
            <wp:docPr id="49" name="Mermaid diagram 4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56abe162905483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F50 — Unicode and symbols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795429"/>
            <wp:effectExtent l="0" t="0" r="0" b="0"/>
            <wp:docPr id="50" name="Mermaid diagram 5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f75db17e5f64de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9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F51 — Very long single-node label (wrapping)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2819400"/>
            <wp:effectExtent l="0" t="0" r="0" b="0"/>
            <wp:docPr id="51" name="Mermaid diagram 5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ba3fdb8b80e438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F52 — Short labels, tight spacing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80870"/>
            <wp:effectExtent l="0" t="0" r="0" b="0"/>
            <wp:docPr id="52" name="Mermaid diagram 5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a9a6213375b4a4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8 — Styling, classes, and init</w:t>
      </w:r>
    </w:p>
    <w:p>
      <w:pPr>
        <w:pStyle w:val="Heading3"/>
      </w:pPr>
      <w:r>
        <w:t xml:space="preserve">F53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952750" cy="5143500"/>
            <wp:effectExtent l="0" t="0" r="0" b="0"/>
            <wp:docPr id="53" name="Mermaid diagram 5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b6fe1b3121f4297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F53A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695450"/>
            <wp:effectExtent l="0" t="0" r="0" b="0"/>
            <wp:docPr id="54" name="Mermaid diagram 5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0edd574c0e34a78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Evaluate:</w:t>
      </w:r>
      <w:r>
        <w:t xml:space="preserve"> Compare SVG </w:t>
      </w:r>
      <w:r>
        <w:rPr>
          <w:b/>
        </w:rPr>
        <w:t xml:space="preserve">coordinates</w:t>
      </w:r>
      <w:r>
        <w:t xml:space="preserve"> against </w:t>
      </w:r>
      <w:hyperlink xmlns:r="http://schemas.openxmlformats.org/officeDocument/2006/relationships" w:history="true" r:id="Rece5ab24f9f64591">
        <w:r>
          <w:rPr>
            <w:rStyle w:val="Hyperlink"/>
            <w:color w:val="0563C1"/>
            <w:u w:val="single"/>
          </w:rPr>
          <w:t xml:space="preserve">mermaid.live</w:t>
        </w:r>
      </w:hyperlink>
      <w:r>
        <w:t xml:space="preserve"> (mermaid.ink reference SVG), </w:t>
      </w:r>
      <w:r>
        <w:rPr>
          <w:b/>
        </w:rPr>
        <w:t xml:space="preserve">not</w:t>
      </w:r>
      <w:r>
        <w:t xml:space="preserve"> PNG pixel diff. SvgHarness extracts node positions and merge-edge path start/end points, normalises shoulder attach offsets relative to the End pill (</w:t>
      </w:r>
      <w:r>
        <w:rPr>
          <w:rStyle w:val="MdInlineCode"/>
        </w:rPr>
        <w:t xml:space="preserve">endDx</w:t>
      </w:r>
      <w:r>
        <w:t xml:space="preserve"> / </w:t>
      </w:r>
      <w:r>
        <w:rPr>
          <w:rStyle w:val="MdInlineCode"/>
        </w:rPr>
        <w:t xml:space="preserve">endDy</w:t>
      </w:r>
      <w:r>
        <w:t xml:space="preserve">), and gates on coordinate deltas plus geometry invariants (separated shoulders, vertical stub at source X). See </w:t>
      </w:r>
      <w:r>
        <w:rPr>
          <w:rStyle w:val="MdInlineCode"/>
        </w:rPr>
        <w:t xml:space="preserve">{index}.coordinates.txt</w:t>
      </w:r>
      <w:r>
        <w:t xml:space="preserve"> in the harness output folder.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out/f53a-coord --reference=mermaid-ink --max-blocks=54 --report=out/f53a-coord/report.md</w:t>
      </w:r>
    </w:p>
    <w:p>
      <w:pPr>
        <w:pStyle w:val="Normal"/>
      </w:pPr>
      <w:r>
        <w:t xml:space="preserve">Or isolate F53A only: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out/f53a-test.md out/f53a-coord --reference=mermaid-ink</w:t>
      </w:r>
    </w:p>
    <w:p>
      <w:pPr>
        <w:pStyle w:val="Heading3"/>
      </w:pPr>
      <w:r>
        <w:t xml:space="preserve">F54 — </w:t>
      </w:r>
      <w:r>
        <w:rPr>
          <w:rStyle w:val="MdInlineCode"/>
        </w:rPr>
        <w:t xml:space="preserve">classDef</w:t>
      </w:r>
      <w:r>
        <w:t xml:space="preserve"> and </w:t>
      </w:r>
      <w:r>
        <w:rPr>
          <w:rStyle w:val="MdInlineCode"/>
        </w:rPr>
        <w:t xml:space="preserve">class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914400"/>
            <wp:effectExtent l="0" t="0" r="0" b="0"/>
            <wp:docPr id="55" name="Mermaid diagram 5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3e2d9b713a74616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F55 — </w:t>
      </w:r>
      <w:r>
        <w:rPr>
          <w:rStyle w:val="MdInlineCode"/>
        </w:rPr>
        <w:t xml:space="preserve">linkStyle</w:t>
      </w:r>
      <w:r>
        <w:t xml:space="preserve"> on selected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53697"/>
            <wp:effectExtent l="0" t="0" r="0" b="0"/>
            <wp:docPr id="56" name="Mermaid diagram 5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338ec57ced4be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5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F56 — Init: </w:t>
      </w:r>
      <w:r>
        <w:rPr>
          <w:rStyle w:val="MdInlineCode"/>
        </w:rPr>
        <w:t xml:space="preserve">htmlLabels: false</w:t>
      </w:r>
      <w:r>
        <w:t xml:space="preserve"> (native SVG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19300" cy="3009900"/>
            <wp:effectExtent l="0" t="0" r="0" b="0"/>
            <wp:docPr id="57" name="Mermaid diagram 5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6acf541623e4dd7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F57 — Init: spacing overrides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04975" cy="2933700"/>
            <wp:effectExtent l="0" t="0" r="0" b="0"/>
            <wp:docPr id="58" name="Mermaid diagram 5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11c703314fc41c3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9 — Combined stress scenarios</w:t>
      </w:r>
    </w:p>
    <w:p>
      <w:pPr>
        <w:pStyle w:val="Heading3"/>
      </w:pPr>
      <w:r>
        <w:t xml:space="preserve">F58 — Full pipeline (shapes + decisions + labels + cylinder)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60590" cy="6480000"/>
            <wp:effectExtent l="0" t="0" r="0" b="0"/>
            <wp:docPr id="59" name="Mermaid diagram 5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7d3fba3c1474583"/>
                    <a:stretch>
                      <a:fillRect/>
                    </a:stretch>
                  </pic:blipFill>
                  <pic:spPr>
                    <a:xfrm>
                      <a:off x="0" y="0"/>
                      <a:ext cx="416059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F59 — Subgraph + decision + retry loop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519547" cy="6480000"/>
            <wp:effectExtent l="0" t="0" r="0" b="0"/>
            <wp:docPr id="60" name="Mermaid diagram 6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664594dee7448f1"/>
                    <a:stretch>
                      <a:fillRect/>
                    </a:stretch>
                  </pic:blipFill>
                  <pic:spPr>
                    <a:xfrm>
                      <a:off x="0" y="0"/>
                      <a:ext cx="351954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F60 — LR diagram with nested TB and cross-links (integration)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532304"/>
            <wp:effectExtent l="0" t="0" r="0" b="0"/>
            <wp:docPr id="61" name="Mermaid diagram 6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4a1e473a1dc4f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Scenario index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ID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Topic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F01–F10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Syntax, direction, basics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F11–F17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Node shapes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F18–F28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types and labels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F29–F35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Branching and control flow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F36–F42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Single-level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F43–F47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Nested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F48–F52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Labels and text stress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F53–F57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Style, class, init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F53A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Isolated stadium merge (coordinate gate vs mermaid.live)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F58–F60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Combined integration</w:t>
            </w:r>
          </w:p>
        </w:tc>
      </w:tr>
    </w:tbl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Optional batch commands</w:t>
      </w:r>
    </w:p>
    <w:p>
      <w:pPr>
        <w:pStyle w:val="Normal"/>
      </w:pPr>
      <w:r>
        <w:t xml:space="preserve">Render only this file: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t xml:space="preserve">Compare with </w:t>
      </w:r>
      <w:r>
        <w:rPr>
          <w:rStyle w:val="MdInlineCode"/>
        </w:rPr>
        <w:t xml:space="preserve">test.md</w:t>
      </w:r>
      <w:r>
        <w:t xml:space="preserve"> flowchart section for overlapping coverage; use </w:t>
      </w:r>
      <w:r>
        <w:rPr>
          <w:b/>
        </w:rPr>
        <w:t xml:space="preserve">flow.md</w:t>
      </w:r>
      <w:r>
        <w:t xml:space="preserve"> when iterating specifically on flowchart layout.</w:t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abstractNum w:abstractNumId="3">
    <w:nsid w:val="00000003"/>
    <w:multiLevelType w:val="multilevel"/>
    <w:tmpl w:val="00001003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d57e684901849a9" /><Relationship Type="http://schemas.openxmlformats.org/officeDocument/2006/relationships/numbering" Target="/word/numbering.xml" Id="Ra1e5e6526b044afd" /><Relationship Type="http://schemas.openxmlformats.org/officeDocument/2006/relationships/image" Target="/media/image.png" Id="R686a4073ea3e4fe0" /><Relationship Type="http://schemas.openxmlformats.org/officeDocument/2006/relationships/image" Target="/media/image2.png" Id="R40db68386d7244d9" /><Relationship Type="http://schemas.openxmlformats.org/officeDocument/2006/relationships/image" Target="/media/image3.png" Id="R433cedc218624d4e" /><Relationship Type="http://schemas.openxmlformats.org/officeDocument/2006/relationships/image" Target="/media/image4.png" Id="R93ec992447964019" /><Relationship Type="http://schemas.openxmlformats.org/officeDocument/2006/relationships/image" Target="/media/image5.png" Id="R62e33c1f8d1245a9" /><Relationship Type="http://schemas.openxmlformats.org/officeDocument/2006/relationships/image" Target="/media/image6.png" Id="R3c264201aebf45cd" /><Relationship Type="http://schemas.openxmlformats.org/officeDocument/2006/relationships/image" Target="/media/image7.png" Id="R4aa680f02f76458e" /><Relationship Type="http://schemas.openxmlformats.org/officeDocument/2006/relationships/image" Target="/media/image8.png" Id="Rd30628093a56473d" /><Relationship Type="http://schemas.openxmlformats.org/officeDocument/2006/relationships/image" Target="/media/image9.png" Id="R2e2ed01121bf4bd3" /><Relationship Type="http://schemas.openxmlformats.org/officeDocument/2006/relationships/image" Target="/media/image10.png" Id="Rf5e2accf63554cc4" /><Relationship Type="http://schemas.openxmlformats.org/officeDocument/2006/relationships/image" Target="/media/image11.png" Id="R6b3bfd95e3224de4" /><Relationship Type="http://schemas.openxmlformats.org/officeDocument/2006/relationships/image" Target="/media/image12.png" Id="R7d68be50ce2f45c8" /><Relationship Type="http://schemas.openxmlformats.org/officeDocument/2006/relationships/image" Target="/media/image13.png" Id="R05fa5eba7178476a" /><Relationship Type="http://schemas.openxmlformats.org/officeDocument/2006/relationships/image" Target="/media/image14.png" Id="Rceee11fee1514dce" /><Relationship Type="http://schemas.openxmlformats.org/officeDocument/2006/relationships/image" Target="/media/image15.png" Id="R90146a899df849e5" /><Relationship Type="http://schemas.openxmlformats.org/officeDocument/2006/relationships/image" Target="/media/image16.png" Id="R2818728a165c4ee7" /><Relationship Type="http://schemas.openxmlformats.org/officeDocument/2006/relationships/image" Target="/media/image17.png" Id="Rca2f2c944d2a4142" /><Relationship Type="http://schemas.openxmlformats.org/officeDocument/2006/relationships/image" Target="/media/image18.png" Id="R67719070390f4862" /><Relationship Type="http://schemas.openxmlformats.org/officeDocument/2006/relationships/image" Target="/media/image19.png" Id="Ref1f8622365c4e8b" /><Relationship Type="http://schemas.openxmlformats.org/officeDocument/2006/relationships/image" Target="/media/image20.png" Id="Reea733c82f9f4bf5" /><Relationship Type="http://schemas.openxmlformats.org/officeDocument/2006/relationships/image" Target="/media/image21.png" Id="R4fbc518103934e22" /><Relationship Type="http://schemas.openxmlformats.org/officeDocument/2006/relationships/image" Target="/media/image22.png" Id="R17f48108a06e4b4a" /><Relationship Type="http://schemas.openxmlformats.org/officeDocument/2006/relationships/image" Target="/media/image23.png" Id="Rdffba276790a4f34" /><Relationship Type="http://schemas.openxmlformats.org/officeDocument/2006/relationships/image" Target="/media/image24.png" Id="R6053723be4ba4d6f" /><Relationship Type="http://schemas.openxmlformats.org/officeDocument/2006/relationships/image" Target="/media/image25.png" Id="Rd4de90a02f134fef" /><Relationship Type="http://schemas.openxmlformats.org/officeDocument/2006/relationships/image" Target="/media/image26.png" Id="Ra33295f633c44972" /><Relationship Type="http://schemas.openxmlformats.org/officeDocument/2006/relationships/image" Target="/media/image27.png" Id="R51272d328291418b" /><Relationship Type="http://schemas.openxmlformats.org/officeDocument/2006/relationships/image" Target="/media/image28.png" Id="R5b5f87a9c5e94452" /><Relationship Type="http://schemas.openxmlformats.org/officeDocument/2006/relationships/image" Target="/media/image29.png" Id="Ra49b9b7a2e404653" /><Relationship Type="http://schemas.openxmlformats.org/officeDocument/2006/relationships/image" Target="/media/image30.png" Id="R032d2490d472489b" /><Relationship Type="http://schemas.openxmlformats.org/officeDocument/2006/relationships/image" Target="/media/image31.png" Id="R84f102d3f6bb4a7a" /><Relationship Type="http://schemas.openxmlformats.org/officeDocument/2006/relationships/image" Target="/media/image32.png" Id="R2f05c1df8c8e48cd" /><Relationship Type="http://schemas.openxmlformats.org/officeDocument/2006/relationships/image" Target="/media/image33.png" Id="R4abcde6b04c34557" /><Relationship Type="http://schemas.openxmlformats.org/officeDocument/2006/relationships/image" Target="/media/image34.png" Id="R41e840a33af14e05" /><Relationship Type="http://schemas.openxmlformats.org/officeDocument/2006/relationships/image" Target="/media/image35.png" Id="R7713127be67545ec" /><Relationship Type="http://schemas.openxmlformats.org/officeDocument/2006/relationships/image" Target="/media/image36.png" Id="R1a563894466a4027" /><Relationship Type="http://schemas.openxmlformats.org/officeDocument/2006/relationships/image" Target="/media/image37.png" Id="R9185c5ef85964c16" /><Relationship Type="http://schemas.openxmlformats.org/officeDocument/2006/relationships/image" Target="/media/image38.png" Id="R86047c37a41f4147" /><Relationship Type="http://schemas.openxmlformats.org/officeDocument/2006/relationships/image" Target="/media/image39.png" Id="R02a92f6fd97d4164" /><Relationship Type="http://schemas.openxmlformats.org/officeDocument/2006/relationships/image" Target="/media/image40.png" Id="Rd05857116c9346a7" /><Relationship Type="http://schemas.openxmlformats.org/officeDocument/2006/relationships/image" Target="/media/image41.png" Id="R57d2133c768942e4" /><Relationship Type="http://schemas.openxmlformats.org/officeDocument/2006/relationships/image" Target="/media/image42.png" Id="Re6ebf9b6956f4beb" /><Relationship Type="http://schemas.openxmlformats.org/officeDocument/2006/relationships/image" Target="/media/image43.png" Id="R8b2e64d6c734451e" /><Relationship Type="http://schemas.openxmlformats.org/officeDocument/2006/relationships/image" Target="/media/image44.png" Id="R3916f23349124988" /><Relationship Type="http://schemas.openxmlformats.org/officeDocument/2006/relationships/image" Target="/media/image45.png" Id="R772c78e8c6a14d0b" /><Relationship Type="http://schemas.openxmlformats.org/officeDocument/2006/relationships/image" Target="/media/image46.png" Id="Rb19603d5043e4496" /><Relationship Type="http://schemas.openxmlformats.org/officeDocument/2006/relationships/image" Target="/media/image47.png" Id="R657d10773b8f495f" /><Relationship Type="http://schemas.openxmlformats.org/officeDocument/2006/relationships/hyperlink" Target="https://mermaid.js.org/syntax/flowchart.html#entity-codes-to-escape-characters" TargetMode="External" Id="R37986ccde5b2428f" /><Relationship Type="http://schemas.openxmlformats.org/officeDocument/2006/relationships/image" Target="/media/image48.png" Id="R6eee5db63a154269" /><Relationship Type="http://schemas.openxmlformats.org/officeDocument/2006/relationships/image" Target="/media/image49.png" Id="Rf56abe1629054839" /><Relationship Type="http://schemas.openxmlformats.org/officeDocument/2006/relationships/image" Target="/media/image50.png" Id="R6f75db17e5f64de6" /><Relationship Type="http://schemas.openxmlformats.org/officeDocument/2006/relationships/image" Target="/media/image51.png" Id="Rdba3fdb8b80e4381" /><Relationship Type="http://schemas.openxmlformats.org/officeDocument/2006/relationships/image" Target="/media/image52.png" Id="R4a9a6213375b4a47" /><Relationship Type="http://schemas.openxmlformats.org/officeDocument/2006/relationships/image" Target="/media/image53.png" Id="R9b6fe1b3121f4297" /><Relationship Type="http://schemas.openxmlformats.org/officeDocument/2006/relationships/image" Target="/media/image54.png" Id="Rc0edd574c0e34a78" /><Relationship Type="http://schemas.openxmlformats.org/officeDocument/2006/relationships/hyperlink" Target="https://mermaid.live" TargetMode="External" Id="Rece5ab24f9f64591" /><Relationship Type="http://schemas.openxmlformats.org/officeDocument/2006/relationships/image" Target="/media/image55.png" Id="Rc3e2d9b713a74616" /><Relationship Type="http://schemas.openxmlformats.org/officeDocument/2006/relationships/image" Target="/media/image56.png" Id="Rf4338ec57ced4be7" /><Relationship Type="http://schemas.openxmlformats.org/officeDocument/2006/relationships/image" Target="/media/image57.png" Id="R36acf541623e4dd7" /><Relationship Type="http://schemas.openxmlformats.org/officeDocument/2006/relationships/image" Target="/media/image58.png" Id="Rc11c703314fc41c3" /><Relationship Type="http://schemas.openxmlformats.org/officeDocument/2006/relationships/image" Target="/media/image59.png" Id="R57d3fba3c1474583" /><Relationship Type="http://schemas.openxmlformats.org/officeDocument/2006/relationships/image" Target="/media/image60.png" Id="Rf664594dee7448f1" /><Relationship Type="http://schemas.openxmlformats.org/officeDocument/2006/relationships/image" Target="/media/image61.png" Id="R14a1e473a1dc4f15" /></Relationships>
</file>