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bcaba99334154bff"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da1dd3861df44c92">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bbc19ee38a674093">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db9b8e9787634a88">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03ca7b12b6f3486d">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6536488888f84c0e">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f60d67507e6945b7">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23dcc9e7eadd487c">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ecb93cd4992648f9">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0416de8afbb44ef7">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0e20475a616342b9">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16350560c8004ff2">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5220000" cy="5945249"/>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d0f6cb3915a47bb"/>
                    <a:stretch>
                      <a:fillRect/>
                    </a:stretch>
                  </pic:blipFill>
                  <pic:spPr>
                    <a:xfrm>
                      <a:off x="0" y="0"/>
                      <a:ext cx="5220000" cy="5945249"/>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402901"/>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d9f2c98033d4995"/>
                    <a:stretch>
                      <a:fillRect/>
                    </a:stretch>
                  </pic:blipFill>
                  <pic:spPr>
                    <a:xfrm>
                      <a:off x="0" y="0"/>
                      <a:ext cx="5220000" cy="402901"/>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421649"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412493b14a24143"/>
                    <a:stretch>
                      <a:fillRect/>
                    </a:stretch>
                  </pic:blipFill>
                  <pic:spPr>
                    <a:xfrm>
                      <a:off x="0" y="0"/>
                      <a:ext cx="1421649"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dc7f78b841e441e"/>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7c4064909074b0b"/>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367dc65a6644459"/>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10b66e0d9024147"/>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969f4965712427e"/>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ceaf45e76e64ea6"/>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d1d9f0ad8f841ed"/>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dfd2ffdaa844de4"/>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bc0931f772e40fd"/>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6523464df8e4031"/>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6cf5bf29e31459c"/>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5f55da6ae684bcf"/>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183bc9088764b4d"/>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5220000" cy="1104165"/>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98bcdc8e9364cce"/>
                    <a:stretch>
                      <a:fillRect/>
                    </a:stretch>
                  </pic:blipFill>
                  <pic:spPr>
                    <a:xfrm>
                      <a:off x="0" y="0"/>
                      <a:ext cx="5220000" cy="1104165"/>
                    </a:xfrm>
                    <a:prstGeom prst="rect">
                      <a:avLst/>
                    </a:prstGeom>
                  </pic:spPr>
                </pic:pic>
              </a:graphicData>
            </a:graphic>
          </wp:inline>
        </w:drawing>
      </w:r>
    </w:p>
    <w:p>
      <w:pPr>
        <w:pStyle w:val="Normal"/>
      </w:pPr>
      <w:r>
        <w:t xml:space="preserve">Gantt chart: longer period + more milestones (YYYY-MM-DD)</w:t>
      </w:r>
    </w:p>
    <w:p>
      <w:pPr>
        <w:pStyle w:val="Normal"/>
        <w:jc w:val="center"/>
      </w:pPr>
      <w:r>
        <w:drawing>
          <wp:inline xmlns:wp="http://schemas.openxmlformats.org/drawingml/2006/wordprocessingDrawing" distT="0" distB="0" distL="0" distR="0">
            <wp:extent cx="5220000" cy="1045561"/>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53fd1ee1c9a47de"/>
                    <a:stretch>
                      <a:fillRect/>
                    </a:stretch>
                  </pic:blipFill>
                  <pic:spPr>
                    <a:xfrm>
                      <a:off x="0" y="0"/>
                      <a:ext cx="5220000" cy="1045561"/>
                    </a:xfrm>
                    <a:prstGeom prst="rect">
                      <a:avLst/>
                    </a:prstGeom>
                  </pic:spPr>
                </pic:pic>
              </a:graphicData>
            </a:graphic>
          </wp:inline>
        </w:drawing>
      </w:r>
    </w:p>
    <w:p>
      <w:pPr>
        <w:pStyle w:val="Normal"/>
      </w:pPr>
      <w:r>
        <w:t xml:space="preserve">Gantt chart: alternate input date format (DD-MM-YYYY)</w:t>
      </w:r>
    </w:p>
    <w:p>
      <w:pPr>
        <w:pStyle w:val="Normal"/>
        <w:jc w:val="center"/>
      </w:pPr>
      <w:r>
        <w:drawing>
          <wp:inline xmlns:wp="http://schemas.openxmlformats.org/drawingml/2006/wordprocessingDrawing" distT="0" distB="0" distL="0" distR="0">
            <wp:extent cx="5220000" cy="795583"/>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1f5c82a44eb447d"/>
                    <a:stretch>
                      <a:fillRect/>
                    </a:stretch>
                  </pic:blipFill>
                  <pic:spPr>
                    <a:xfrm>
                      <a:off x="0" y="0"/>
                      <a:ext cx="5220000" cy="795583"/>
                    </a:xfrm>
                    <a:prstGeom prst="rect">
                      <a:avLst/>
                    </a:prstGeom>
                  </pic:spPr>
                </pic:pic>
              </a:graphicData>
            </a:graphic>
          </wp:inline>
        </w:drawing>
      </w:r>
    </w:p>
    <w:p>
      <w:pPr>
        <w:pStyle w:val="Normal"/>
      </w:pPr>
      <w:r>
        <w:t xml:space="preserve">Gantt chart: alternate input date format (MM-DD-YYYY)</w:t>
      </w:r>
    </w:p>
    <w:p>
      <w:pPr>
        <w:pStyle w:val="Normal"/>
        <w:jc w:val="center"/>
      </w:pPr>
      <w:r>
        <w:drawing>
          <wp:inline xmlns:wp="http://schemas.openxmlformats.org/drawingml/2006/wordprocessingDrawing" distT="0" distB="0" distL="0" distR="0">
            <wp:extent cx="5220000" cy="795583"/>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cb501810a924975"/>
                    <a:stretch>
                      <a:fillRect/>
                    </a:stretch>
                  </pic:blipFill>
                  <pic:spPr>
                    <a:xfrm>
                      <a:off x="0" y="0"/>
                      <a:ext cx="5220000" cy="795583"/>
                    </a:xfrm>
                    <a:prstGeom prst="rect">
                      <a:avLst/>
                    </a:prstGeom>
                  </pic:spPr>
                </pic:pic>
              </a:graphicData>
            </a:graphic>
          </wp:inline>
        </w:drawing>
      </w:r>
    </w:p>
    <w:p>
      <w:pPr>
        <w:pStyle w:val="Normal"/>
      </w:pPr>
      <w:r>
        <w:t xml:space="preserve">Gantt chart: axisFormat probe (%m)</w:t>
      </w:r>
    </w:p>
    <w:p>
      <w:pPr>
        <w:pStyle w:val="Normal"/>
        <w:jc w:val="center"/>
      </w:pPr>
      <w:r>
        <w:drawing>
          <wp:inline xmlns:wp="http://schemas.openxmlformats.org/drawingml/2006/wordprocessingDrawing" distT="0" distB="0" distL="0" distR="0">
            <wp:extent cx="5220000" cy="746803"/>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a12abc50de1432d"/>
                    <a:stretch>
                      <a:fillRect/>
                    </a:stretch>
                  </pic:blipFill>
                  <pic:spPr>
                    <a:xfrm>
                      <a:off x="0" y="0"/>
                      <a:ext cx="5220000" cy="746803"/>
                    </a:xfrm>
                    <a:prstGeom prst="rect">
                      <a:avLst/>
                    </a:prstGeom>
                  </pic:spPr>
                </pic:pic>
              </a:graphicData>
            </a:graphic>
          </wp:inline>
        </w:drawing>
      </w:r>
    </w:p>
    <w:p>
      <w:pPr>
        <w:pStyle w:val="Normal"/>
      </w:pPr>
      <w:r>
        <w:t xml:space="preserve">Gantt chart: axisFormat probe (%y)</w:t>
      </w:r>
    </w:p>
    <w:p>
      <w:pPr>
        <w:pStyle w:val="Normal"/>
        <w:jc w:val="center"/>
      </w:pPr>
      <w:r>
        <w:drawing>
          <wp:inline xmlns:wp="http://schemas.openxmlformats.org/drawingml/2006/wordprocessingDrawing" distT="0" distB="0" distL="0" distR="0">
            <wp:extent cx="5220000" cy="741391"/>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3586c978dba4501"/>
                    <a:stretch>
                      <a:fillRect/>
                    </a:stretch>
                  </pic:blipFill>
                  <pic:spPr>
                    <a:xfrm>
                      <a:off x="0" y="0"/>
                      <a:ext cx="5220000" cy="741391"/>
                    </a:xfrm>
                    <a:prstGeom prst="rect">
                      <a:avLst/>
                    </a:prstGeom>
                  </pic:spPr>
                </pic:pic>
              </a:graphicData>
            </a:graphic>
          </wp:inline>
        </w:drawing>
      </w:r>
    </w:p>
    <w:p>
      <w:pPr>
        <w:pStyle w:val="Normal"/>
      </w:pPr>
      <w:r>
        <w:t xml:space="preserve">Additional Mermaid Gantt directives (supported upstream, not yet supported by Naiad’s Gantt parser):</w:t>
      </w:r>
    </w:p>
    <w:p>
      <w:pPr>
        <w:pStyle w:val="Normal"/>
        <w:numPr>
          <w:ilvl w:val="0"/>
          <w:numId w:val="30"/>
        </w:numPr>
      </w:pPr>
      <w:r>
        <w:rPr>
          <w:rStyle w:val="MdInlineCode"/>
        </w:rPr>
        <w:t xml:space="preserve">topAxis</w:t>
      </w:r>
      <w:r>
        <w:t xml:space="preserve"> (currently triggers </w:t>
      </w:r>
      <w:r>
        <w:rPr>
          <w:rStyle w:val="MdInlineCode"/>
        </w:rPr>
        <w:t xml:space="preserve">TopAxis is not a function</w:t>
      </w:r>
      <w:r>
        <w:t xml:space="preserve"> in </w:t>
      </w:r>
      <w:r>
        <w:rPr>
          <w:rStyle w:val="MdInlineCode"/>
        </w:rPr>
        <w:t xml:space="preserve">mermaid.live</w:t>
      </w:r>
      <w:r>
        <w:t xml:space="preserve"> — omit for now)</w:t>
      </w:r>
    </w:p>
    <w:p>
      <w:pPr>
        <w:pStyle w:val="Normal"/>
        <w:numPr>
          <w:ilvl w:val="0"/>
          <w:numId w:val="30"/>
        </w:numPr>
      </w:pPr>
      <w:r>
        <w:rPr>
          <w:rStyle w:val="MdInlineCode"/>
        </w:rPr>
        <w:t xml:space="preserve">tickInterval 1day</w:t>
      </w:r>
      <w:r>
        <w:t xml:space="preserve"> (or </w:t>
      </w:r>
      <w:r>
        <w:rPr>
          <w:rStyle w:val="MdInlineCode"/>
        </w:rPr>
        <w:t xml:space="preserve">1week</w:t>
      </w:r>
      <w:r>
        <w:t xml:space="preserve">, </w:t>
      </w:r>
      <w:r>
        <w:rPr>
          <w:rStyle w:val="MdInlineCode"/>
        </w:rPr>
        <w:t xml:space="preserve">1month</w:t>
      </w:r>
      <w:r>
        <w:t xml:space="preserve">, etc)</w:t>
      </w:r>
    </w:p>
    <w:p>
      <w:pPr>
        <w:pStyle w:val="Normal"/>
        <w:numPr>
          <w:ilvl w:val="0"/>
          <w:numId w:val="30"/>
        </w:numPr>
      </w:pPr>
      <w:r>
        <w:rPr>
          <w:rStyle w:val="MdInlineCode"/>
        </w:rPr>
        <w:t xml:space="preserve">weekday monday</w:t>
      </w:r>
      <w:r>
        <w:t xml:space="preserve"> (tick interval alignment)</w:t>
      </w:r>
    </w:p>
    <w:p>
      <w:pPr>
        <w:pStyle w:val="Normal"/>
        <w:numPr>
          <w:ilvl w:val="0"/>
          <w:numId w:val="30"/>
        </w:numPr>
      </w:pPr>
      <w:r>
        <w:rPr>
          <w:rStyle w:val="MdInlineCode"/>
        </w:rPr>
        <w:t xml:space="preserve">weekend friday</w:t>
      </w:r>
      <w:r>
        <w:t xml:space="preserve"> (weekend start day)</w:t>
      </w:r>
    </w:p>
    <w:p>
      <w:pPr>
        <w:pStyle w:val="Normal"/>
        <w:numPr>
          <w:ilvl w:val="0"/>
          <w:numId w:val="30"/>
        </w:numPr>
      </w:pPr>
      <w:r>
        <w:rPr>
          <w:rStyle w:val="MdInlineCode"/>
        </w:rPr>
        <w:t xml:space="preserve">inclusiveEndDates</w:t>
      </w:r>
    </w:p>
    <w:p>
      <w:pPr>
        <w:pStyle w:val="Normal"/>
        <w:numPr>
          <w:ilvl w:val="0"/>
          <w:numId w:val="30"/>
        </w:numPr>
      </w:pPr>
      <w:r>
        <w:rPr>
          <w:rStyle w:val="MdInlineCode"/>
        </w:rPr>
        <w:t xml:space="preserve">includes 2026-04-04</w:t>
      </w:r>
    </w:p>
    <w:p>
      <w:pPr>
        <w:pStyle w:val="Normal"/>
        <w:numPr>
          <w:ilvl w:val="0"/>
          <w:numId w:val="30"/>
        </w:numPr>
      </w:pPr>
      <w:r>
        <w:rPr>
          <w:rStyle w:val="MdInlineCode"/>
        </w:rPr>
        <w:t xml:space="preserve">todayMarker off</w:t>
      </w:r>
      <w:r>
        <w:t xml:space="preserve"> or </w:t>
      </w:r>
      <w:r>
        <w:rPr>
          <w:rStyle w:val="MdInlineCode"/>
        </w:rPr>
        <w:t xml:space="preserve">todayMarker stroke: red, stroke-width: 2px</w:t>
      </w:r>
    </w:p>
    <w:p>
      <w:pPr>
        <w:pStyle w:val="Normal"/>
        <w:numPr>
          <w:ilvl w:val="0"/>
          <w:numId w:val="30"/>
        </w:numPr>
      </w:pPr>
      <w:r>
        <w:rPr>
          <w:rStyle w:val="MdInlineCode"/>
        </w:rPr>
        <w:t xml:space="preserve">click &lt;taskId&gt; href "https://example.com"</w:t>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60c6c162b934128"/>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18f2602356c44f7"/>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b100d1cb0954f0e"/>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c8448c169e84082"/>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805efc3d8b24d47"/>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6c78960b242483e"/>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b48031a42b94452"/>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26ad0aa452941bb"/>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411be0620854fde"/>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f696c6a069b4035"/>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a40ca9d1954400b"/>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e5cfbb53f1a4f2b"/>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b3538a48a074c2b"/>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drawing>
          <wp:inline xmlns:wp="http://schemas.openxmlformats.org/drawingml/2006/wordprocessingDrawing" distT="0" distB="0" distL="0" distR="0">
            <wp:extent cx="5220000" cy="5120621"/>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c6fea68d1944a36"/>
                    <a:stretch>
                      <a:fillRect/>
                    </a:stretch>
                  </pic:blipFill>
                  <pic:spPr>
                    <a:xfrm>
                      <a:off x="0" y="0"/>
                      <a:ext cx="5220000" cy="5120621"/>
                    </a:xfrm>
                    <a:prstGeom prst="rect">
                      <a:avLst/>
                    </a:prstGeom>
                  </pic:spPr>
                </pic:pic>
              </a:graphicData>
            </a:graphic>
          </wp:inline>
        </w:drawing>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7" name="Mermaid diagram 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0710a35fc5f4e00"/>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8" name="Mermaid diagram 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2b0e8d9524b451d"/>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9" name="Mermaid diagram 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51c4dabe30a442f"/>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40" name="Mermaid diagram 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c95d88ff7d34b1f"/>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41" name="Mermaid diagram 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1d8db58d0744f37"/>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42" name="Mermaid diagram 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65938af51d04281"/>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9e21883a4bcc47aa">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43" name="Picture 43"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aab8c673bc484548"/>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44" name="Picture 44"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429ee5949b184b31"/>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45" name="Picture 45"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c245d0ff5cbd401f"/>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6" name="Picture 46"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0a1faf692ecb4b21"/>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1"/>
        </w:numPr>
      </w:pPr>
      <w:r>
        <w:t xml:space="preserve">[ ]</w:t>
      </w:r>
      <w:r>
        <w:t xml:space="preserve"> Quoted unchecked task</w:t>
      </w:r>
    </w:p>
    <w:p>
      <w:pPr>
        <w:pStyle w:val="IntenseQuote"/>
        <w:numPr>
          <w:ilvl w:val="0"/>
          <w:numId w:val="31"/>
        </w:numPr>
      </w:pPr>
      <w:r>
        <w:t xml:space="preserve">[x]</w:t>
      </w:r>
      <w:r>
        <w:t xml:space="preserve"> Quoted checked task</w:t>
      </w:r>
    </w:p>
    <w:p>
      <w:pPr>
        <w:pStyle w:val="Normal"/>
      </w:pPr>
      <w:r>
        <w:t xml:space="preserve">Blockquote containing nested ordered content:</w:t>
      </w:r>
    </w:p>
    <w:p>
      <w:pPr>
        <w:pStyle w:val="IntenseQuote"/>
        <w:numPr>
          <w:ilvl w:val="0"/>
          <w:numId w:val="32"/>
        </w:numPr>
      </w:pPr>
      <w:r>
        <w:t xml:space="preserve">First quoted step</w:t>
      </w:r>
    </w:p>
    <w:p>
      <w:pPr>
        <w:pStyle w:val="Normal"/>
        <w:numPr>
          <w:ilvl w:val="1"/>
          <w:numId w:val="33"/>
        </w:numPr>
      </w:pPr>
      <w:r>
        <w:t xml:space="preserve">Sub bullet in quote</w:t>
      </w:r>
    </w:p>
    <w:p>
      <w:pPr>
        <w:pStyle w:val="IntenseQuote"/>
        <w:numPr>
          <w:ilvl w:val="0"/>
          <w:numId w:val="32"/>
        </w:numPr>
      </w:pPr>
      <w:r>
        <w:t xml:space="preserve">Second quoted step</w:t>
      </w:r>
    </w:p>
    <w:p>
      <w:pPr>
        <w:pStyle w:val="Normal"/>
      </w:pPr>
      <w:r>
        <w:t xml:space="preserve">Ordered item with continuation and nested bullet:</w:t>
      </w:r>
    </w:p>
    <w:p>
      <w:pPr>
        <w:pStyle w:val="Normal"/>
        <w:numPr>
          <w:ilvl w:val="0"/>
          <w:numId w:val="34"/>
        </w:numPr>
      </w:pPr>
      <w:r>
        <w:t xml:space="preserve">Numbered item with continuation.</w:t>
      </w:r>
    </w:p>
    <w:p>
      <w:pPr>
        <w:pStyle w:val="Normal"/>
        <w:ind w:left="720"/>
      </w:pPr>
      <w:r>
        <w:t xml:space="preserve">Continuation paragraph belongs to the first item.</w:t>
      </w:r>
    </w:p>
    <w:p>
      <w:pPr>
        <w:pStyle w:val="Normal"/>
        <w:numPr>
          <w:ilvl w:val="1"/>
          <w:numId w:val="35"/>
        </w:numPr>
      </w:pPr>
      <w:r>
        <w:t xml:space="preserve">Nested bullet in continuation.</w:t>
      </w:r>
    </w:p>
    <w:p>
      <w:pPr>
        <w:pStyle w:val="Normal"/>
        <w:numPr>
          <w:ilvl w:val="0"/>
          <w:numId w:val="34"/>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2">
    <w:nsid w:val="00000020"/>
    <w:multiLevelType w:val="multilevel"/>
    <w:tmpl w:val="0000102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3">
    <w:nsid w:val="00000021"/>
    <w:multiLevelType w:val="multilevel"/>
    <w:tmpl w:val="0000102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4">
    <w:nsid w:val="00000022"/>
    <w:multiLevelType w:val="multilevel"/>
    <w:tmpl w:val="0000102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5">
    <w:nsid w:val="00000023"/>
    <w:multiLevelType w:val="multilevel"/>
    <w:tmpl w:val="0000102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44c90ea52a544e99" /><Relationship Type="http://schemas.openxmlformats.org/officeDocument/2006/relationships/numbering" Target="/word/numbering.xml" Id="R1b3249425b7a4ca1" /><Relationship Type="http://schemas.openxmlformats.org/officeDocument/2006/relationships/hyperlink" Target="https://example.com" TargetMode="External" Id="Rda1dd3861df44c92" /><Relationship Type="http://schemas.openxmlformats.org/officeDocument/2006/relationships/hyperlink" Target="https://example.com" TargetMode="External" Id="Rbbc19ee38a674093" /><Relationship Type="http://schemas.openxmlformats.org/officeDocument/2006/relationships/hyperlink" Target="https://example.com" TargetMode="External" Id="Rdb9b8e9787634a88" /><Relationship Type="http://schemas.openxmlformats.org/officeDocument/2006/relationships/hyperlink" Target="https://commonmark.org" TargetMode="External" Id="R03ca7b12b6f3486d" /><Relationship Type="http://schemas.openxmlformats.org/officeDocument/2006/relationships/hyperlink" Target="https://commonmark.org" TargetMode="External" Id="R6536488888f84c0e" /><Relationship Type="http://schemas.openxmlformats.org/officeDocument/2006/relationships/hyperlink" Target="https://commonmark.org" TargetMode="External" Id="Rf60d67507e6945b7" /><Relationship Type="http://schemas.openxmlformats.org/officeDocument/2006/relationships/hyperlink" Target="https://example.com/autolink" TargetMode="External" Id="R23dcc9e7eadd487c" /><Relationship Type="http://schemas.openxmlformats.org/officeDocument/2006/relationships/hyperlink" Target="mailto:person@example.com" TargetMode="External" Id="Recb93cd4992648f9" /><Relationship Type="http://schemas.openxmlformats.org/officeDocument/2006/relationships/hyperlink" Target="https://example.com" TargetMode="External" Id="R0416de8afbb44ef7" /><Relationship Type="http://schemas.openxmlformats.org/officeDocument/2006/relationships/hyperlink" Target="https://example.com" TargetMode="External" Id="R0e20475a616342b9" /><Relationship Type="http://schemas.openxmlformats.org/officeDocument/2006/relationships/hyperlink" Target="https://example.com" TargetMode="External" Id="R16350560c8004ff2" /><Relationship Type="http://schemas.openxmlformats.org/officeDocument/2006/relationships/image" Target="/media/image.svg" Id="R2d0f6cb3915a47bb" /><Relationship Type="http://schemas.openxmlformats.org/officeDocument/2006/relationships/image" Target="/media/image2.svg" Id="Red9f2c98033d4995" /><Relationship Type="http://schemas.openxmlformats.org/officeDocument/2006/relationships/image" Target="/media/image3.svg" Id="R2412493b14a24143" /><Relationship Type="http://schemas.openxmlformats.org/officeDocument/2006/relationships/image" Target="/media/image4.svg" Id="R6dc7f78b841e441e" /><Relationship Type="http://schemas.openxmlformats.org/officeDocument/2006/relationships/image" Target="/media/image5.svg" Id="R37c4064909074b0b" /><Relationship Type="http://schemas.openxmlformats.org/officeDocument/2006/relationships/image" Target="/media/image6.svg" Id="R8367dc65a6644459" /><Relationship Type="http://schemas.openxmlformats.org/officeDocument/2006/relationships/image" Target="/media/image7.svg" Id="R210b66e0d9024147" /><Relationship Type="http://schemas.openxmlformats.org/officeDocument/2006/relationships/image" Target="/media/image8.svg" Id="R8969f4965712427e" /><Relationship Type="http://schemas.openxmlformats.org/officeDocument/2006/relationships/image" Target="/media/image9.svg" Id="R8ceaf45e76e64ea6" /><Relationship Type="http://schemas.openxmlformats.org/officeDocument/2006/relationships/image" Target="/media/image10.svg" Id="R2d1d9f0ad8f841ed" /><Relationship Type="http://schemas.openxmlformats.org/officeDocument/2006/relationships/image" Target="/media/image11.svg" Id="Rfdfd2ffdaa844de4" /><Relationship Type="http://schemas.openxmlformats.org/officeDocument/2006/relationships/image" Target="/media/image12.svg" Id="R7bc0931f772e40fd" /><Relationship Type="http://schemas.openxmlformats.org/officeDocument/2006/relationships/image" Target="/media/image13.svg" Id="Rc6523464df8e4031" /><Relationship Type="http://schemas.openxmlformats.org/officeDocument/2006/relationships/image" Target="/media/image14.svg" Id="R66cf5bf29e31459c" /><Relationship Type="http://schemas.openxmlformats.org/officeDocument/2006/relationships/image" Target="/media/image15.svg" Id="Rd5f55da6ae684bcf" /><Relationship Type="http://schemas.openxmlformats.org/officeDocument/2006/relationships/image" Target="/media/image16.svg" Id="R8183bc9088764b4d" /><Relationship Type="http://schemas.openxmlformats.org/officeDocument/2006/relationships/image" Target="/media/image17.svg" Id="Rf98bcdc8e9364cce" /><Relationship Type="http://schemas.openxmlformats.org/officeDocument/2006/relationships/image" Target="/media/image18.svg" Id="Rb53fd1ee1c9a47de" /><Relationship Type="http://schemas.openxmlformats.org/officeDocument/2006/relationships/image" Target="/media/image19.svg" Id="R51f5c82a44eb447d" /><Relationship Type="http://schemas.openxmlformats.org/officeDocument/2006/relationships/image" Target="/media/image20.svg" Id="Rdcb501810a924975" /><Relationship Type="http://schemas.openxmlformats.org/officeDocument/2006/relationships/image" Target="/media/image21.svg" Id="R1a12abc50de1432d" /><Relationship Type="http://schemas.openxmlformats.org/officeDocument/2006/relationships/image" Target="/media/image22.svg" Id="R93586c978dba4501" /><Relationship Type="http://schemas.openxmlformats.org/officeDocument/2006/relationships/image" Target="/media/image23.svg" Id="R860c6c162b934128" /><Relationship Type="http://schemas.openxmlformats.org/officeDocument/2006/relationships/image" Target="/media/image24.svg" Id="R018f2602356c44f7" /><Relationship Type="http://schemas.openxmlformats.org/officeDocument/2006/relationships/image" Target="/media/image25.svg" Id="R0b100d1cb0954f0e" /><Relationship Type="http://schemas.openxmlformats.org/officeDocument/2006/relationships/image" Target="/media/image26.svg" Id="Rfc8448c169e84082" /><Relationship Type="http://schemas.openxmlformats.org/officeDocument/2006/relationships/image" Target="/media/image27.svg" Id="Ra805efc3d8b24d47" /><Relationship Type="http://schemas.openxmlformats.org/officeDocument/2006/relationships/image" Target="/media/image28.svg" Id="Rd6c78960b242483e" /><Relationship Type="http://schemas.openxmlformats.org/officeDocument/2006/relationships/image" Target="/media/image29.svg" Id="Rcb48031a42b94452" /><Relationship Type="http://schemas.openxmlformats.org/officeDocument/2006/relationships/image" Target="/media/image30.svg" Id="Rc26ad0aa452941bb" /><Relationship Type="http://schemas.openxmlformats.org/officeDocument/2006/relationships/image" Target="/media/image31.svg" Id="R0411be0620854fde" /><Relationship Type="http://schemas.openxmlformats.org/officeDocument/2006/relationships/image" Target="/media/image32.svg" Id="R3f696c6a069b4035" /><Relationship Type="http://schemas.openxmlformats.org/officeDocument/2006/relationships/image" Target="/media/image33.svg" Id="Rea40ca9d1954400b" /><Relationship Type="http://schemas.openxmlformats.org/officeDocument/2006/relationships/image" Target="/media/image34.svg" Id="R5e5cfbb53f1a4f2b" /><Relationship Type="http://schemas.openxmlformats.org/officeDocument/2006/relationships/image" Target="/media/image35.svg" Id="R2b3538a48a074c2b" /><Relationship Type="http://schemas.openxmlformats.org/officeDocument/2006/relationships/image" Target="/media/image36.svg" Id="R8c6fea68d1944a36" /><Relationship Type="http://schemas.openxmlformats.org/officeDocument/2006/relationships/image" Target="/media/image37.svg" Id="R10710a35fc5f4e00" /><Relationship Type="http://schemas.openxmlformats.org/officeDocument/2006/relationships/image" Target="/media/image38.svg" Id="R12b0e8d9524b451d" /><Relationship Type="http://schemas.openxmlformats.org/officeDocument/2006/relationships/image" Target="/media/image39.svg" Id="R051c4dabe30a442f" /><Relationship Type="http://schemas.openxmlformats.org/officeDocument/2006/relationships/image" Target="/media/image40.svg" Id="Rfc95d88ff7d34b1f" /><Relationship Type="http://schemas.openxmlformats.org/officeDocument/2006/relationships/image" Target="/media/image41.svg" Id="Rd1d8db58d0744f37" /><Relationship Type="http://schemas.openxmlformats.org/officeDocument/2006/relationships/image" Target="/media/image42.svg" Id="Rd65938af51d04281" /><Relationship Type="http://schemas.openxmlformats.org/officeDocument/2006/relationships/hyperlink" Target="https://example.com" TargetMode="External" Id="R9e21883a4bcc47aa" /><Relationship Type="http://schemas.openxmlformats.org/officeDocument/2006/relationships/image" Target="/media/image.png" Id="Raab8c673bc484548" /><Relationship Type="http://schemas.openxmlformats.org/officeDocument/2006/relationships/image" Target="/media/image2.png" Id="R429ee5949b184b31" /><Relationship Type="http://schemas.openxmlformats.org/officeDocument/2006/relationships/image" Target="/media/image3.png" Id="Rc245d0ff5cbd401f" /><Relationship Type="http://schemas.openxmlformats.org/officeDocument/2006/relationships/image" Target="/media/image4.png" Id="R0a1faf692ecb4b21" /></Relationships>
</file>