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" w:hAnsi="Aptos"/>
          <w:b/>
          <w:sz w:val="36"/>
        </w:rPr>
        <w:t>M2.K2 — Паспорт компетенции «Командная работа»</w:t>
      </w:r>
    </w:p>
    <w:p>
      <w:pPr>
        <w:keepNext w:val="0"/>
        <w:spacing w:after="200" w:line="259" w:lineRule="auto"/>
        <w:jc w:val="center"/>
      </w:pPr>
      <w:r>
        <w:rPr>
          <w:rFonts w:ascii="Aptos" w:hAnsi="Aptos"/>
          <w:b/>
          <w:i w:val="0"/>
          <w:sz w:val="21"/>
        </w:rPr>
        <w:t>Methodology 4К 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/>
                <w:b/>
                <w:sz w:val="19"/>
              </w:rPr>
              <w:t>ArtifactID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M2.K2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/>
                <w:b/>
                <w:sz w:val="19"/>
              </w:rPr>
              <w:t>CompetencyID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K2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/>
                <w:b/>
                <w:sz w:val="19"/>
              </w:rPr>
              <w:t>Название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Командная работа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/>
                <w:b/>
                <w:sz w:val="19"/>
              </w:rPr>
              <w:t>Версия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v1.0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/>
                <w:b/>
                <w:sz w:val="19"/>
              </w:rPr>
              <w:t>Статус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/>
                <w:b/>
                <w:sz w:val="19"/>
              </w:rPr>
              <w:t>CURRENT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YES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/>
                <w:b/>
                <w:sz w:val="19"/>
              </w:rPr>
              <w:t>Дата фиксации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06.09.2026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/>
                <w:b/>
                <w:sz w:val="19"/>
              </w:rPr>
              <w:t>Нормативная матрица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M2.K2_Матрица_Командная_работа_v1.0_FROZEN.xlsx</w:t>
            </w:r>
          </w:p>
        </w:tc>
      </w:tr>
    </w:tbl>
    <w:p>
      <w:pPr>
        <w:keepNext w:val="0"/>
        <w:spacing w:after="200" w:line="259" w:lineRule="auto"/>
      </w:pPr>
      <w:r>
        <w:rPr>
          <w:rFonts w:ascii="Aptos" w:hAnsi="Aptos"/>
          <w:b/>
          <w:i w:val="0"/>
          <w:sz w:val="21"/>
        </w:rPr>
        <w:t>Структура компетенции: 3 навыка → 9 компонентов → 14 индикаторов.</w:t>
      </w:r>
    </w:p>
    <w:p>
      <w:pPr>
        <w:pStyle w:val="Heading1"/>
        <w:keepNext/>
        <w:spacing w:before="160" w:after="80"/>
      </w:pPr>
      <w:r>
        <w:rPr>
          <w:rFonts w:ascii="Aptos" w:hAnsi="Aptos"/>
          <w:b/>
          <w:sz w:val="28"/>
        </w:rPr>
        <w:t>1. Компетенция K2 — Командная работа</w:t>
      </w:r>
    </w:p>
    <w:p>
      <w:pPr>
        <w:pStyle w:val="Heading2"/>
        <w:keepNext/>
        <w:spacing w:before="100" w:after="80"/>
      </w:pPr>
      <w:r>
        <w:rPr>
          <w:rFonts w:ascii="Aptos" w:hAnsi="Aptos"/>
          <w:b/>
          <w:sz w:val="23"/>
        </w:rPr>
        <w:t>1.1. Определение</w:t>
      </w:r>
    </w:p>
    <w:p>
      <w:pPr>
        <w:keepNext w:val="0"/>
        <w:spacing w:after="80" w:line="259" w:lineRule="auto"/>
      </w:pPr>
      <w:r>
        <w:t>Командная работа — способность организовывать и поддерживать совместную деятельность участников для достижения общего результата.</w:t>
      </w:r>
    </w:p>
    <w:p>
      <w:pPr>
        <w:pStyle w:val="Heading2"/>
        <w:keepNext/>
        <w:spacing w:before="100" w:after="80"/>
      </w:pPr>
      <w:r>
        <w:rPr>
          <w:rFonts w:ascii="Aptos" w:hAnsi="Aptos"/>
          <w:b/>
          <w:sz w:val="23"/>
        </w:rPr>
        <w:t>1.2. Функция компетенции</w:t>
      </w:r>
    </w:p>
    <w:p>
      <w:pPr>
        <w:keepNext w:val="0"/>
        <w:spacing w:after="80" w:line="259" w:lineRule="auto"/>
      </w:pPr>
      <w:r>
        <w:t>Преобразовывать действия и вклады нескольких взаимозависимых участников в согласованную совместную деятельность и поддерживать её работоспособность.</w:t>
      </w:r>
    </w:p>
    <w:p>
      <w:pPr>
        <w:pStyle w:val="Heading2"/>
        <w:keepNext/>
        <w:spacing w:before="100" w:after="80"/>
      </w:pPr>
      <w:r>
        <w:rPr>
          <w:rFonts w:ascii="Aptos" w:hAnsi="Aptos"/>
          <w:b/>
          <w:sz w:val="23"/>
        </w:rPr>
        <w:t>1.3. Продукт компетенции</w:t>
      </w:r>
    </w:p>
    <w:p>
      <w:pPr>
        <w:keepNext w:val="0"/>
        <w:spacing w:after="80" w:line="259" w:lineRule="auto"/>
      </w:pPr>
      <w:r>
        <w:t>Работоспособная совместная деятельность, в которой участники ориентируются на общий результат; необходимые функции и роли определены и согласованы; взаимозависимые действия и информационный обмен скоординированы; вклады участников используются; затруднения и конфликты не разрушают способность продолжать совместную работу.</w:t>
      </w:r>
    </w:p>
    <w:p>
      <w:pPr>
        <w:pStyle w:val="Heading2"/>
        <w:keepNext/>
        <w:spacing w:before="100" w:after="80"/>
      </w:pPr>
      <w:r>
        <w:rPr>
          <w:rFonts w:ascii="Aptos" w:hAnsi="Aptos"/>
          <w:b/>
          <w:sz w:val="23"/>
        </w:rPr>
        <w:t>1.4. Логика компетенции</w:t>
      </w:r>
    </w:p>
    <w:p>
      <w:pPr>
        <w:keepNext w:val="0"/>
        <w:spacing w:after="80" w:line="259" w:lineRule="auto"/>
      </w:pPr>
      <w:r>
        <w:rPr>
          <w:rFonts w:ascii="Aptos" w:hAnsi="Aptos"/>
          <w:b/>
          <w:i w:val="0"/>
          <w:sz w:val="21"/>
        </w:rPr>
        <w:t>Организовать совместную работу → скоординировать совместные действия → поддерживать продуктивное командное взаимодействие.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K2.1 — Организация совместной работы.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K2.2 — Координация совместных действий.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K2.3 — Поддержание продуктивного командного взаимодействия.</w:t>
      </w:r>
    </w:p>
    <w:p>
      <w:pPr>
        <w:pStyle w:val="Heading1"/>
        <w:keepNext/>
        <w:spacing w:before="160" w:after="80"/>
      </w:pPr>
      <w:r>
        <w:rPr>
          <w:rFonts w:ascii="Aptos" w:hAnsi="Aptos"/>
          <w:b/>
          <w:sz w:val="28"/>
        </w:rPr>
        <w:t>2. Архитектура компетенции</w:t>
      </w:r>
    </w:p>
    <w:p>
      <w:pPr>
        <w:pStyle w:val="Heading2"/>
        <w:keepNext/>
        <w:spacing w:before="100" w:after="80"/>
      </w:pPr>
      <w:r>
        <w:rPr>
          <w:rFonts w:ascii="Aptos" w:hAnsi="Aptos"/>
          <w:b/>
          <w:sz w:val="23"/>
        </w:rPr>
        <w:t>K2.1 — Организация совместной работы</w:t>
      </w:r>
    </w:p>
    <w:p>
      <w:pPr>
        <w:keepNext/>
        <w:spacing w:after="20" w:line="259" w:lineRule="auto"/>
      </w:pPr>
      <w:r>
        <w:rPr>
          <w:rFonts w:ascii="Aptos" w:hAnsi="Aptos"/>
          <w:b/>
          <w:i w:val="0"/>
          <w:sz w:val="21"/>
        </w:rPr>
        <w:t>Функция</w:t>
      </w:r>
    </w:p>
    <w:p>
      <w:pPr>
        <w:keepNext w:val="0"/>
        <w:spacing w:after="80" w:line="259" w:lineRule="auto"/>
      </w:pPr>
      <w:r>
        <w:t>Задать устройство совместной деятельности, необходимое для достижения общего результата.</w:t>
      </w:r>
    </w:p>
    <w:p>
      <w:pPr>
        <w:keepNext/>
        <w:spacing w:after="20" w:line="259" w:lineRule="auto"/>
      </w:pPr>
      <w:r>
        <w:rPr>
          <w:rFonts w:ascii="Aptos" w:hAnsi="Aptos"/>
          <w:b/>
          <w:i w:val="0"/>
          <w:sz w:val="21"/>
        </w:rPr>
        <w:t>Продукт</w:t>
      </w:r>
    </w:p>
    <w:p>
      <w:pPr>
        <w:keepNext w:val="0"/>
        <w:spacing w:after="80" w:line="259" w:lineRule="auto"/>
      </w:pPr>
      <w:r>
        <w:t>Определённая и согласованная структура совместной работы: общий результат, необходимые функции, их покрытие ролями, ответственность и существенные взаимные ожидания по ролям.</w:t>
      </w:r>
    </w:p>
    <w:p>
      <w:pPr>
        <w:keepNext/>
        <w:spacing w:after="20" w:line="259" w:lineRule="auto"/>
      </w:pPr>
      <w:r>
        <w:rPr>
          <w:rFonts w:ascii="Aptos" w:hAnsi="Aptos"/>
          <w:b/>
          <w:i w:val="0"/>
          <w:sz w:val="21"/>
        </w:rPr>
        <w:t>Место в логике K2</w:t>
      </w:r>
    </w:p>
    <w:p>
      <w:pPr>
        <w:keepNext w:val="0"/>
        <w:spacing w:after="80" w:line="259" w:lineRule="auto"/>
      </w:pPr>
      <w:r>
        <w:rPr>
          <w:rFonts w:ascii="Aptos" w:hAnsi="Aptos"/>
          <w:b w:val="0"/>
          <w:i w:val="0"/>
          <w:sz w:val="21"/>
        </w:rPr>
        <w:t>Навык формирует устройство совместной деятельности, относительно которого далее могут координироваться конкретные действия участников. Его результатом является структура совместной работы: что должно быть получено совместно, что для этого необходимо обеспечить и какие роли несут соответствующие функции и ответственность.</w:t>
      </w:r>
    </w:p>
    <w:p>
      <w:pPr>
        <w:keepNext/>
        <w:spacing w:after="40" w:line="259" w:lineRule="auto"/>
      </w:pPr>
      <w:r>
        <w:rPr>
          <w:rFonts w:ascii="Aptos" w:hAnsi="Aptos"/>
          <w:b/>
          <w:i w:val="0"/>
          <w:sz w:val="21"/>
        </w:rP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1871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ComponentID</w:t>
            </w:r>
          </w:p>
        </w:tc>
        <w:tc>
          <w:tcPr>
            <w:tcW w:type="dxa" w:w="7087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Компонент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K2.C01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Согласование общего результата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K2.C02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Определение необходимых функций</w:t>
            </w:r>
          </w:p>
        </w:tc>
      </w:tr>
      <w:tr>
        <w:tc>
          <w:tcPr>
            <w:tcW w:type="dxa" w:w="5071"/>
          </w:tcPr>
          <w:p>
            <w:r>
              <w:t>K2.C03</w:t>
            </w:r>
          </w:p>
        </w:tc>
        <w:tc>
          <w:tcPr>
            <w:tcW w:type="dxa" w:w="5071"/>
          </w:tcPr>
          <w:p>
            <w:r>
              <w:t>Распределение и согласование ролей</w:t>
            </w:r>
          </w:p>
        </w:tc>
      </w:tr>
    </w:tbl>
    <w:p>
      <w:pPr>
        <w:spacing w:after="20"/>
      </w:pPr>
    </w:p>
    <w:p>
      <w:pPr>
        <w:keepNext/>
        <w:spacing w:after="20" w:line="259" w:lineRule="auto"/>
      </w:pPr>
      <w:r>
        <w:rPr>
          <w:rFonts w:ascii="Aptos" w:hAnsi="Aptos"/>
          <w:b/>
          <w:i w:val="0"/>
          <w:sz w:val="21"/>
        </w:rPr>
        <w:t>Граница навыка</w:t>
      </w:r>
    </w:p>
    <w:p>
      <w:pPr>
        <w:keepNext w:val="0"/>
        <w:spacing w:after="140" w:line="259" w:lineRule="auto"/>
      </w:pPr>
      <w:r>
        <w:rPr>
          <w:rFonts w:ascii="Aptos" w:hAnsi="Aptos"/>
          <w:b w:val="0"/>
          <w:i w:val="0"/>
          <w:sz w:val="21"/>
        </w:rPr>
        <w:t>K2.1 заканчивается там, где определено и согласовано устройство совместной работы: общий результат, необходимые функции, роли и ответственность. Согласование конкретных взаимозависимых действий в ходе работы относится уже к K2.2.</w:t>
      </w:r>
    </w:p>
    <w:p>
      <w:r>
        <w:br w:type="page"/>
      </w:r>
    </w:p>
    <w:p>
      <w:pPr>
        <w:pStyle w:val="Heading2"/>
        <w:keepNext/>
        <w:spacing w:before="100" w:after="80"/>
      </w:pPr>
      <w:r>
        <w:rPr>
          <w:rFonts w:ascii="Aptos" w:hAnsi="Aptos"/>
          <w:b/>
          <w:sz w:val="23"/>
        </w:rPr>
        <w:t>K2.2 — Координация совместных действий</w:t>
      </w:r>
    </w:p>
    <w:p>
      <w:pPr>
        <w:keepNext/>
        <w:spacing w:after="20" w:line="259" w:lineRule="auto"/>
      </w:pPr>
      <w:r>
        <w:rPr>
          <w:rFonts w:ascii="Aptos" w:hAnsi="Aptos"/>
          <w:b/>
          <w:i w:val="0"/>
          <w:sz w:val="21"/>
        </w:rPr>
        <w:t>Функция</w:t>
      </w:r>
    </w:p>
    <w:p>
      <w:pPr>
        <w:keepNext w:val="0"/>
        <w:spacing w:after="80" w:line="259" w:lineRule="auto"/>
      </w:pPr>
      <w:r>
        <w:t>Обеспечивать согласованность взаимозависимых действий участников в ходе совместной работы.</w:t>
      </w:r>
    </w:p>
    <w:p>
      <w:pPr>
        <w:keepNext/>
        <w:spacing w:after="20" w:line="259" w:lineRule="auto"/>
      </w:pPr>
      <w:r>
        <w:rPr>
          <w:rFonts w:ascii="Aptos" w:hAnsi="Aptos"/>
          <w:b/>
          <w:i w:val="0"/>
          <w:sz w:val="21"/>
        </w:rPr>
        <w:t>Продукт</w:t>
      </w:r>
    </w:p>
    <w:p>
      <w:pPr>
        <w:keepNext w:val="0"/>
        <w:spacing w:after="80" w:line="259" w:lineRule="auto"/>
      </w:pPr>
      <w:r>
        <w:t>Согласованный процесс совместной работы: взаимозависимые действия состыкованы, необходимая информация доступна к моменту использования, а возникающие отклонения не разрушают критические зависимости.</w:t>
      </w:r>
    </w:p>
    <w:p>
      <w:pPr>
        <w:keepNext/>
        <w:spacing w:after="20" w:line="259" w:lineRule="auto"/>
      </w:pPr>
      <w:r>
        <w:rPr>
          <w:rFonts w:ascii="Aptos" w:hAnsi="Aptos"/>
          <w:b/>
          <w:i w:val="0"/>
          <w:sz w:val="21"/>
        </w:rPr>
        <w:t>Место в логике K2</w:t>
      </w:r>
    </w:p>
    <w:p>
      <w:pPr>
        <w:keepNext w:val="0"/>
        <w:spacing w:after="80" w:line="259" w:lineRule="auto"/>
      </w:pPr>
      <w:r>
        <w:rPr>
          <w:rFonts w:ascii="Aptos" w:hAnsi="Aptos"/>
          <w:b w:val="0"/>
          <w:i w:val="0"/>
          <w:sz w:val="21"/>
        </w:rPr>
        <w:t>Навык превращает заданную структуру совместной работы в функционирующий во времени процесс. Он отвечает за то, чтобы действия участников были взаимно согласованы, информационно обеспечены и сохраняли связность при возникающих отклонениях.</w:t>
      </w:r>
    </w:p>
    <w:p>
      <w:pPr>
        <w:keepNext/>
        <w:spacing w:after="40" w:line="259" w:lineRule="auto"/>
      </w:pPr>
      <w:r>
        <w:rPr>
          <w:rFonts w:ascii="Aptos" w:hAnsi="Aptos"/>
          <w:b/>
          <w:i w:val="0"/>
          <w:sz w:val="21"/>
        </w:rP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1871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ComponentID</w:t>
            </w:r>
          </w:p>
        </w:tc>
        <w:tc>
          <w:tcPr>
            <w:tcW w:type="dxa" w:w="7087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Компонент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K2.C04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Согласование командных процессов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K2.C05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Обеспечение информационного обмена</w:t>
            </w:r>
          </w:p>
        </w:tc>
      </w:tr>
      <w:tr>
        <w:tc>
          <w:tcPr>
            <w:tcW w:type="dxa" w:w="5071"/>
          </w:tcPr>
          <w:p>
            <w:r>
              <w:t>K2.C06</w:t>
            </w:r>
          </w:p>
        </w:tc>
        <w:tc>
          <w:tcPr>
            <w:tcW w:type="dxa" w:w="5071"/>
          </w:tcPr>
          <w:p>
            <w:r>
              <w:t>Поддержание командных процессов</w:t>
            </w:r>
          </w:p>
        </w:tc>
      </w:tr>
    </w:tbl>
    <w:p>
      <w:pPr>
        <w:spacing w:after="20"/>
      </w:pPr>
    </w:p>
    <w:p>
      <w:pPr>
        <w:keepNext/>
        <w:spacing w:after="20" w:line="259" w:lineRule="auto"/>
      </w:pPr>
      <w:r>
        <w:rPr>
          <w:rFonts w:ascii="Aptos" w:hAnsi="Aptos"/>
          <w:b/>
          <w:i w:val="0"/>
          <w:sz w:val="21"/>
        </w:rPr>
        <w:t>Граница навыка</w:t>
      </w:r>
    </w:p>
    <w:p>
      <w:pPr>
        <w:keepNext w:val="0"/>
        <w:spacing w:after="140" w:line="259" w:lineRule="auto"/>
      </w:pPr>
      <w:r>
        <w:rPr>
          <w:rFonts w:ascii="Aptos" w:hAnsi="Aptos"/>
          <w:b w:val="0"/>
          <w:i w:val="0"/>
          <w:sz w:val="21"/>
        </w:rPr>
        <w:t>K2.2 работает с зависимостями действий и состоянием совместного процесса. Когда основная проблема связана с включением участника, использованием его вклада, затруднением выполнения необходимого вклада или содержательным конфликтом между участниками, начинается K2.3.</w:t>
      </w:r>
    </w:p>
    <w:p>
      <w:r>
        <w:br w:type="page"/>
      </w:r>
    </w:p>
    <w:p>
      <w:pPr>
        <w:pStyle w:val="Heading2"/>
        <w:keepNext/>
        <w:spacing w:before="100" w:after="80"/>
      </w:pPr>
      <w:r>
        <w:rPr>
          <w:rFonts w:ascii="Aptos" w:hAnsi="Aptos"/>
          <w:b/>
          <w:sz w:val="23"/>
        </w:rPr>
        <w:t>K2.3 — Поддержание продуктивного командного взаимодействия</w:t>
      </w:r>
    </w:p>
    <w:p>
      <w:pPr>
        <w:keepNext/>
        <w:spacing w:after="20" w:line="259" w:lineRule="auto"/>
      </w:pPr>
      <w:r>
        <w:rPr>
          <w:rFonts w:ascii="Aptos" w:hAnsi="Aptos"/>
          <w:b/>
          <w:i w:val="0"/>
          <w:sz w:val="21"/>
        </w:rPr>
        <w:t>Функция</w:t>
      </w:r>
    </w:p>
    <w:p>
      <w:pPr>
        <w:keepNext w:val="0"/>
        <w:spacing w:after="80" w:line="259" w:lineRule="auto"/>
      </w:pPr>
      <w:r>
        <w:rPr>
          <w:rFonts w:ascii="Aptos" w:hAnsi="Aptos"/>
          <w:b w:val="0"/>
          <w:i w:val="0"/>
          <w:sz w:val="21"/>
        </w:rPr>
        <w:t>Поддерживать способность участников вносить необходимый вклад и продолжать совместную работу при различиях возможностей, затруднениях и конфликтах.</w:t>
      </w:r>
    </w:p>
    <w:p>
      <w:pPr>
        <w:keepNext/>
        <w:spacing w:after="20" w:line="259" w:lineRule="auto"/>
      </w:pPr>
      <w:r>
        <w:rPr>
          <w:rFonts w:ascii="Aptos" w:hAnsi="Aptos"/>
          <w:b/>
          <w:i w:val="0"/>
          <w:sz w:val="21"/>
        </w:rPr>
        <w:t>Продукт</w:t>
      </w:r>
    </w:p>
    <w:p>
      <w:pPr>
        <w:keepNext w:val="0"/>
        <w:spacing w:after="80" w:line="259" w:lineRule="auto"/>
      </w:pPr>
      <w:r>
        <w:rPr>
          <w:rFonts w:ascii="Aptos" w:hAnsi="Aptos"/>
          <w:b w:val="0"/>
          <w:i w:val="0"/>
          <w:sz w:val="21"/>
        </w:rPr>
        <w:t>Продуктивное командное взаимодействие, в котором необходимые участники включены, их релевантные вклады и возможности используются, затруднения получают необходимую поддержку, а конфликты преобразуются в рабочие договорённости.</w:t>
      </w:r>
    </w:p>
    <w:p>
      <w:pPr>
        <w:keepNext/>
        <w:spacing w:after="20" w:line="259" w:lineRule="auto"/>
      </w:pPr>
      <w:r>
        <w:rPr>
          <w:rFonts w:ascii="Aptos" w:hAnsi="Aptos"/>
          <w:b/>
          <w:i w:val="0"/>
          <w:sz w:val="21"/>
        </w:rPr>
        <w:t>Место в логике K2</w:t>
      </w:r>
    </w:p>
    <w:p>
      <w:pPr>
        <w:keepNext w:val="0"/>
        <w:spacing w:after="80" w:line="259" w:lineRule="auto"/>
      </w:pPr>
      <w:r>
        <w:rPr>
          <w:rFonts w:ascii="Aptos" w:hAnsi="Aptos"/>
          <w:b w:val="0"/>
          <w:i w:val="0"/>
          <w:sz w:val="21"/>
        </w:rPr>
        <w:t>Навык поддерживает человеческую работоспособность совместной деятельности. Он обеспечивает включённость и использование вкладов участников, восстановление возможности внести необходимый вклад при затруднениях и продолжение совместной работы при содержательных противоречиях.</w:t>
      </w:r>
    </w:p>
    <w:p>
      <w:pPr>
        <w:keepNext/>
        <w:spacing w:after="40" w:line="259" w:lineRule="auto"/>
      </w:pPr>
      <w:r>
        <w:rPr>
          <w:rFonts w:ascii="Aptos" w:hAnsi="Aptos"/>
          <w:b/>
          <w:i w:val="0"/>
          <w:sz w:val="21"/>
        </w:rP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1871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ComponentID</w:t>
            </w:r>
          </w:p>
        </w:tc>
        <w:tc>
          <w:tcPr>
            <w:tcW w:type="dxa" w:w="7087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Компонент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K2.C07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Вовлечение и использование вкладов участников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K2.C08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Поддержка при затруднениях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K2.C09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Разрешение конфликтов</w:t>
            </w:r>
          </w:p>
        </w:tc>
      </w:tr>
    </w:tbl>
    <w:p>
      <w:pPr>
        <w:spacing w:after="20"/>
      </w:pPr>
    </w:p>
    <w:p>
      <w:pPr>
        <w:keepNext/>
        <w:spacing w:after="20" w:line="259" w:lineRule="auto"/>
      </w:pPr>
      <w:r>
        <w:rPr>
          <w:rFonts w:ascii="Aptos" w:hAnsi="Aptos"/>
          <w:b/>
          <w:i w:val="0"/>
          <w:sz w:val="21"/>
        </w:rPr>
        <w:t>Граница навыка</w:t>
      </w:r>
    </w:p>
    <w:p>
      <w:pPr>
        <w:keepNext w:val="0"/>
        <w:spacing w:after="140" w:line="259" w:lineRule="auto"/>
      </w:pPr>
      <w:r>
        <w:rPr>
          <w:rFonts w:ascii="Aptos" w:hAnsi="Aptos"/>
          <w:b w:val="0"/>
          <w:i w:val="0"/>
          <w:sz w:val="21"/>
        </w:rPr>
        <w:t>K2.3 работает с участием и продуктивностью взаимодействия людей. Нарушение стыковки действий, сроков, передачи результата или информационного обеспечения относится к K2.2; затруднение участника или конфликт между позициями, препятствующие совместной работе, относятся к K2.3.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Aptos" w:hAnsi="Aptos"/>
          <w:b/>
          <w:sz w:val="28"/>
        </w:rPr>
        <w:t>3. Компактная карта K2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191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SkillID</w:t>
            </w:r>
          </w:p>
        </w:tc>
        <w:tc>
          <w:tcPr>
            <w:tcW w:type="dxa" w:w="2835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Навык</w:t>
            </w:r>
          </w:p>
        </w:tc>
        <w:tc>
          <w:tcPr>
            <w:tcW w:type="dxa" w:w="1417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Компоненты</w:t>
            </w:r>
          </w:p>
        </w:tc>
        <w:tc>
          <w:tcPr>
            <w:tcW w:type="dxa" w:w="3515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Результат функционального этапа</w:t>
            </w:r>
          </w:p>
        </w:tc>
      </w:tr>
      <w:tr>
        <w:tc>
          <w:tcPr>
            <w:tcW w:type="dxa" w:w="119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K2.1</w:t>
            </w:r>
          </w:p>
        </w:tc>
        <w:tc>
          <w:tcPr>
            <w:tcW w:type="dxa" w:w="283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Организация совместной работы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K2.C01–C03</w:t>
            </w:r>
          </w:p>
        </w:tc>
        <w:tc>
          <w:tcPr>
            <w:tcW w:type="dxa" w:w="351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Согласованная структура совместной работы</w:t>
            </w:r>
          </w:p>
        </w:tc>
      </w:tr>
      <w:tr>
        <w:tc>
          <w:tcPr>
            <w:tcW w:type="dxa" w:w="119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K2.2</w:t>
            </w:r>
          </w:p>
        </w:tc>
        <w:tc>
          <w:tcPr>
            <w:tcW w:type="dxa" w:w="283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Координация совместных действий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/>
              <w:t>K2.C04–C06</w:t>
            </w:r>
          </w:p>
        </w:tc>
        <w:tc>
          <w:tcPr>
            <w:tcW w:type="dxa" w:w="351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Согласованный рабочий процесс</w:t>
            </w:r>
          </w:p>
        </w:tc>
      </w:tr>
      <w:tr>
        <w:tc>
          <w:tcPr>
            <w:tcW w:type="dxa" w:w="119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K2.3</w:t>
            </w:r>
          </w:p>
        </w:tc>
        <w:tc>
          <w:tcPr>
            <w:tcW w:type="dxa" w:w="283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Поддержание продуктивного командного взаимодействия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K2.C07–C09</w:t>
            </w:r>
          </w:p>
        </w:tc>
        <w:tc>
          <w:tcPr>
            <w:tcW w:type="dxa" w:w="351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Продуктивное командное взаимодействие</w:t>
            </w:r>
          </w:p>
        </w:tc>
      </w:tr>
    </w:tbl>
    <w:p>
      <w:pPr>
        <w:spacing w:after="20"/>
      </w:pPr>
    </w:p>
    <w:p>
      <w:pPr>
        <w:keepNext w:val="0"/>
        <w:spacing w:after="160" w:line="259" w:lineRule="auto"/>
      </w:pPr>
      <w:r>
        <w:t>Примечание по адресации: для K2 применяется сквозная каноническая нумерация Components K2.C01–K2.C09 и Indicators K2.I01–K2.I14. Распределение по Skills: K2.1 — K2.C01–C03 / K2.I01–I06; K2.2 — K2.C04–C06 / K2.I07–I09; K2.3 — K2.C07–C09 / K2.I10–I14. Это первая нормативная фиксация данной адресации; LegacyID для предшествующих рабочих черновиков не создаются.</w:t>
      </w:r>
    </w:p>
    <w:p>
      <w:pPr>
        <w:keepNext w:val="0"/>
        <w:spacing w:after="160" w:line="259" w:lineRule="auto"/>
      </w:pPr>
      <w:r>
        <w:rPr>
          <w:rFonts w:ascii="Aptos" w:hAnsi="Aptos"/>
          <w:b/>
          <w:i w:val="0"/>
          <w:sz w:val="21"/>
        </w:rPr>
        <w:t>Сквозная логика: структура совместной работы → согласованный процесс → продуктивное командное взаимодействие.</w:t>
      </w:r>
    </w:p>
    <w:p>
      <w:pPr>
        <w:pStyle w:val="Heading1"/>
        <w:keepNext/>
        <w:spacing w:before="160" w:after="80"/>
      </w:pPr>
      <w:r>
        <w:rPr>
          <w:rFonts w:ascii="Aptos" w:hAnsi="Aptos"/>
          <w:b/>
          <w:sz w:val="28"/>
        </w:rPr>
        <w:t>4. Верхнеуровневые границы K2</w:t>
      </w:r>
    </w:p>
    <w:p>
      <w:pPr>
        <w:pStyle w:val="Heading2"/>
        <w:keepNext/>
        <w:spacing w:before="100" w:after="80"/>
      </w:pPr>
      <w:r>
        <w:rPr>
          <w:rFonts w:ascii="Aptos" w:hAnsi="Aptos"/>
          <w:b/>
          <w:sz w:val="23"/>
        </w:rPr>
        <w:t>4.1. K2 и K1 — Коммуникация</w:t>
      </w:r>
    </w:p>
    <w:p>
      <w:pPr>
        <w:keepNext w:val="0"/>
        <w:spacing w:after="80" w:line="259" w:lineRule="auto"/>
      </w:pPr>
      <w:r>
        <w:rPr>
          <w:rFonts w:ascii="Aptos" w:hAnsi="Aptos"/>
          <w:b w:val="0"/>
          <w:i w:val="0"/>
          <w:sz w:val="21"/>
        </w:rPr>
        <w:t>K2 относится к организации совместной деятельности взаимозависимых участников. K1 относится к созданию, передаче, восстановлению и согласованию смысла между участниками взаимодействия. Качество формулировки, слушания или аргументации само по себе не является проявлением K2; K2 начинается там, где коммуникация используется для организации и поддержания совместной работы.</w:t>
      </w:r>
    </w:p>
    <w:p>
      <w:pPr>
        <w:pStyle w:val="Heading2"/>
        <w:keepNext/>
        <w:spacing w:before="100" w:after="80"/>
      </w:pPr>
      <w:r>
        <w:rPr>
          <w:rFonts w:ascii="Aptos" w:hAnsi="Aptos"/>
          <w:b/>
          <w:sz w:val="23"/>
        </w:rPr>
        <w:t>4.2. K2 и K4 — Критическое мышление</w:t>
      </w:r>
    </w:p>
    <w:p>
      <w:pPr>
        <w:keepNext w:val="0"/>
        <w:spacing w:after="80" w:line="259" w:lineRule="auto"/>
      </w:pPr>
      <w:r>
        <w:rPr>
          <w:rFonts w:ascii="Aptos" w:hAnsi="Aptos"/>
          <w:b w:val="0"/>
          <w:i w:val="0"/>
          <w:sz w:val="21"/>
        </w:rPr>
        <w:t>K2 отвечает за организацию совместной деятельности вокруг общего результата. K4 отвечает за анализ информации и оснований, построение рассуждения и обоснованный выбор решения. Анализ причин, критериев и альтернатив относится к K4, даже если выполняется группой; согласование взаимозависимых вкладов и действий участников относится к K2.</w:t>
      </w:r>
    </w:p>
    <w:p>
      <w:pPr>
        <w:pStyle w:val="Heading2"/>
        <w:keepNext/>
        <w:spacing w:before="100" w:after="80"/>
      </w:pPr>
      <w:r>
        <w:rPr>
          <w:rFonts w:ascii="Aptos" w:hAnsi="Aptos"/>
          <w:b/>
          <w:sz w:val="23"/>
        </w:rPr>
        <w:t>4.3. K2 и K3 — Креативность</w:t>
      </w:r>
    </w:p>
    <w:p>
      <w:pPr>
        <w:keepNext w:val="0"/>
        <w:spacing w:after="80" w:line="259" w:lineRule="auto"/>
      </w:pPr>
      <w:r>
        <w:rPr>
          <w:rFonts w:ascii="Aptos" w:hAnsi="Aptos"/>
          <w:b w:val="0"/>
          <w:i w:val="0"/>
          <w:sz w:val="21"/>
        </w:rPr>
        <w:t>K2 относится к организации совместной деятельности и использованию вкладов участников для общего результата. K3 относится к исследованию пространства возможностей, созданию и развитию нового содержания решения. Совместная генерация или развитие идеи может одновременно создавать наблюдаемость обеих компетенций, но основания их оценки различаются.</w:t>
      </w:r>
    </w:p>
    <w:p>
      <w:pPr>
        <w:pStyle w:val="Heading1"/>
        <w:keepNext/>
        <w:spacing w:before="160" w:after="80"/>
      </w:pPr>
      <w:r>
        <w:rPr>
          <w:rFonts w:ascii="Aptos" w:hAnsi="Aptos"/>
          <w:b/>
          <w:sz w:val="28"/>
        </w:rPr>
        <w:t>5. Разделение паспорта и матрицы</w:t>
      </w:r>
    </w:p>
    <w:p>
      <w:pPr>
        <w:keepNext w:val="0"/>
        <w:spacing w:after="40" w:line="259" w:lineRule="auto"/>
      </w:pPr>
      <w:r>
        <w:rPr>
          <w:rFonts w:ascii="Aptos" w:hAnsi="Aptos"/>
          <w:b/>
          <w:i w:val="0"/>
          <w:sz w:val="21"/>
        </w:rPr>
        <w:t>Для M2.K2 применяется общее правило M2:</w:t>
      </w:r>
    </w:p>
    <w:p>
      <w:pPr>
        <w:spacing w:after="100"/>
        <w:ind w:left="454" w:right="454"/>
      </w:pPr>
      <w:r>
        <w:rPr>
          <w:rFonts w:ascii="Aptos" w:hAnsi="Aptos"/>
          <w:b/>
          <w:i/>
          <w:sz w:val="21"/>
        </w:rPr>
        <w:t>Паспорт содержит нормативное описание Competency и Skills и компактную карту Components. Матрица содержит нормативную детализацию Indicators. Одинаковое нормативное содержание не воспроизводится одновременно в паспорте и матрице.</w:t>
      </w:r>
    </w:p>
    <w:p>
      <w:pPr>
        <w:keepNext w:val="0"/>
        <w:spacing w:after="40" w:line="259" w:lineRule="auto"/>
      </w:pPr>
      <w:r>
        <w:rPr>
          <w:rFonts w:ascii="Aptos" w:hAnsi="Aptos"/>
          <w:b w:val="0"/>
          <w:i w:val="0"/>
          <w:sz w:val="21"/>
        </w:rPr>
        <w:t>Поэтому в паспорт не включаются: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описания отдельных Indicators;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функции и продукты Indicators;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Indicator Level Descriptors L0–L3;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детальные Boundaries между Indicators;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Evidence Patterns / доказательные признаки Indicators;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Red Flags Indicators;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история миграции отдельных Indicators.</w:t>
      </w:r>
    </w:p>
    <w:p>
      <w:pPr>
        <w:keepNext w:val="0"/>
        <w:spacing w:after="160" w:line="259" w:lineRule="auto"/>
      </w:pPr>
      <w:r>
        <w:rPr>
          <w:rFonts w:ascii="Aptos" w:hAnsi="Aptos"/>
          <w:b/>
          <w:i w:val="0"/>
          <w:sz w:val="21"/>
        </w:rPr>
        <w:t>Эти сведения ведутся в нормативной матрице K2.</w:t>
      </w:r>
    </w:p>
    <w:p>
      <w:pPr>
        <w:pStyle w:val="Heading1"/>
        <w:keepNext/>
        <w:spacing w:before="160" w:after="80"/>
      </w:pPr>
      <w:r>
        <w:rPr>
          <w:rFonts w:ascii="Aptos" w:hAnsi="Aptos"/>
          <w:b/>
          <w:sz w:val="28"/>
        </w:rPr>
        <w:t>6. Связанный нормативный артефакт</w:t>
      </w:r>
    </w:p>
    <w:p>
      <w:pPr>
        <w:keepNext w:val="0"/>
        <w:spacing w:after="80" w:line="259" w:lineRule="auto"/>
      </w:pPr>
      <w:r>
        <w:t>Матрица K2 v1.0 является нормативной детализацией конструкта на уровне Indicators и имеет статус FROZEN, CURRENT=YES.</w:t>
      </w:r>
    </w:p>
    <w:p>
      <w:pPr>
        <w:keepNext w:val="0"/>
        <w:spacing w:after="40" w:line="259" w:lineRule="auto"/>
      </w:pPr>
      <w:r>
        <w:t>Текущий состав матрицы K2 v1.0:</w:t>
      </w:r>
    </w:p>
    <w:p>
      <w:pPr>
        <w:keepNext w:val="0"/>
        <w:spacing w:after="80" w:line="259" w:lineRule="auto"/>
      </w:pPr>
      <w:r>
        <w:t>Skill → Component → Indicator → Function → Product → L0–L3 → Boundary → Evidence Pattern → Red Flags</w:t>
      </w:r>
    </w:p>
    <w:p>
      <w:pPr>
        <w:keepNext w:val="0"/>
        <w:spacing w:after="40" w:line="259" w:lineRule="auto"/>
      </w:pPr>
      <w:r>
        <w:t>Матрица K2 v1.0 содержит полную нормативную детализацию 14 Indicators с канонической адресацией K2.I01–K2.I14. Для каждого Indicator зафиксирован уровневонейтральный Evidence Pattern; Red Flags зафиксированы только там, где выделен самостоятельный критически значимый негативный паттерн сверх обычного низкого качества проявления.</w:t>
      </w:r>
    </w:p>
    <w:p>
      <w:pPr>
        <w:keepNext w:val="0"/>
        <w:spacing w:after="80" w:line="259" w:lineRule="auto"/>
      </w:pPr>
      <w:r>
        <w:t>K2 v1.0 является первой нормативной фиксацией текущей структуры и адресации. Предшествующие рабочие черновики не образуют нормативной истории и не фиксируются как LegacyID.</w:t>
      </w:r>
    </w:p>
    <w:p>
      <w:pPr>
        <w:keepNext w:val="0"/>
        <w:spacing w:after="160" w:line="259" w:lineRule="auto"/>
      </w:pPr>
      <w:r>
        <w:rPr>
          <w:rFonts w:ascii="Aptos" w:hAnsi="Aptos"/>
          <w:b/>
          <w:i w:val="0"/>
          <w:sz w:val="21"/>
        </w:rPr>
        <w:t>Паспорт K2 = смысл и архитектура компетенции. Матрица K2 = операциональная спецификация её индикаторов.</w:t>
      </w:r>
    </w:p>
    <w:p>
      <w:pPr>
        <w:spacing w:before="200" w:after="0"/>
      </w:pPr>
      <w:r>
        <w:t>Нормативный документ. Изменения после фиксации оформляются новой версией в соответствии с M0 — Governance Methodology 1.1.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M2.K2 — Паспорт компетенции «Командная работа» | v1.0 | FROZEN | 06.09.2026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7"/>
      </w:rPr>
      <w:t>Methodology 4К 1.1  |  M2.K2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M2.K2 — Паспорт компетенции «Командная работа»</dc:title>
  <dc:subject>Methodology 4К 1.1 — нормативный паспорт компетенции K2</dc:subject>
  <dc:creator>python-docx</dc:creator>
  <cp:keywords>4К, K2, командная работа, M2, FROZEN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