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before="0"/>
      </w:pPr>
      <w:r>
        <w:rPr>
          <w:rFonts w:ascii="Arial" w:hAnsi="Arial"/>
          <w:color w:val="000000"/>
        </w:rPr>
        <w:t>M5 Паспорт Case</w:t>
      </w:r>
    </w:p>
    <w:p>
      <w:pPr>
        <w:spacing w:after="40" w:before="0"/>
        <w:jc w:val="center"/>
      </w:pPr>
      <w:r>
        <w:rPr>
          <w:rFonts w:ascii="Arial" w:hAnsi="Arial"/>
          <w:color w:val="000000"/>
        </w:rPr>
        <w:t>Нормативный шаблон v1.1 • FROZEN • CURRENT=NO • 29.09.2026</w:t>
      </w:r>
    </w:p>
    <w:p>
      <w:pPr>
        <w:spacing w:after="40" w:before="0"/>
      </w:pPr>
      <w:r>
        <w:rPr>
          <w:rFonts w:ascii="Arial" w:hAnsi="Arial"/>
          <w:color w:val="000000"/>
        </w:rPr>
        <w:t>Шаблон описывает сценарную конструкцию Case, реализующую один или несколько CaseType и пригодную для одной или нескольких BaseRole. Case задаёт точные IndicatorIDs; AS конкретизирует условия их наблюдения до взаимодействия. Редакция основана на Паспорте v1.0 FROZEN и согласована с методологией M5 v1.1 FROZEN и контрактом M6 v1.7 REVIEW.</w:t>
      </w:r>
    </w:p>
    <w:p>
      <w:pPr>
        <w:pStyle w:val="Heading1"/>
        <w:keepNext/>
        <w:spacing w:after="80" w:before="160"/>
      </w:pPr>
      <w:r>
        <w:t>1. Архитектурные правила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CaseType остаётся атомарным типом оценочной механики. Case может объединять 1..N CaseType в одной связной рабочей ситуации.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Для multi-CT Case недостаточно перечислить несколько CT. Для каждого CT должна быть реальная функция в Trigger, задаче, информационной структуре или динамике Case.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CaseTypeIDs записываются нейтральным перечнем CTID через «;» без знаков композиции. Логика связи CT фиксируется отдельно: →, +, условная ветвь либо комбинация.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Case может иметь несколько ApplicableBaseRoles. Для каждой роли проверяется реалистичность объекта ответственности, полномочий, масштаба, стейкхолдеров и допустимых действий.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Ролевая адаптация может менять участников, способ влияния, формальные полномочия и профессиональный контекст, но обязана сохранять центральную задачу, CT-композицию, инвариант и Applicability.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Если адаптация к роли требует другой центральной задачи или другого оценочного механизма, это отдельный Case или новая версия, а не персонализация существующего Case.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Applicability сохраняется на уровне SkillID → ComponentID. Поле IndicatorIDs задаёт точный перечень оцениваемых Indicators этих Components с версиями M2 и условиями наблюдения. AS сохраняет перечень и конкретизирует условия до взаимодействия. M6 проверяет фактическую возможность; Indicators не выбираются заново по ответам. Дополнительные гипотезы проходят QA и включаются через новую версию Case до взаимодействия.</w:t>
      </w:r>
    </w:p>
    <w:p>
      <w:pPr>
        <w:pStyle w:val="Heading1"/>
        <w:keepNext/>
        <w:spacing w:after="80" w:before="160"/>
      </w:pPr>
      <w:r>
        <w:t>2. Состав паспорта 22 поля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2665"/>
        <w:gridCol w:w="6350"/>
      </w:tblGrid>
      <w:tr>
        <w:trPr>
          <w:cantSplit/>
          <w:tblHeader/>
        </w:trPr>
        <w:tc>
          <w:tcPr>
            <w:tcW w:type="dxa" w:w="624"/>
            <w:vAlign w:val="center"/>
            <w:shd w:fill="1D6F7A"/>
            <w:shd w:fill="E5EAF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4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№</w:t>
            </w:r>
          </w:p>
        </w:tc>
        <w:tc>
          <w:tcPr>
            <w:tcW w:type="dxa" w:w="2665"/>
            <w:vAlign w:val="center"/>
            <w:shd w:fill="1D6F7A"/>
            <w:shd w:fill="E5EAF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4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Поле</w:t>
            </w:r>
          </w:p>
        </w:tc>
        <w:tc>
          <w:tcPr>
            <w:tcW w:type="dxa" w:w="6350"/>
            <w:vAlign w:val="center"/>
            <w:shd w:fill="1D6F7A"/>
            <w:shd w:fill="E5EAF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4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CaseID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Уникальный идентификатор Case.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Название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Предметное название: объект/событие/проблема. Избегать канцелярской формулы.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CaseTypeIDs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Один или несколько CT из CURRENT каталога CaseType.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Логика связи CT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Как CT соединены внутри одной ситуации: →, +, условная ветвь или комбинация; какую функцию выполняет каждый CT.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Формат Case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Аналитико-рефлексивный, диалоговый, многоролевой или связанная комбинация внутри единой модели Dialogue → Turns.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ApplicableBaseRoles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Одна или несколько BaseRole, для которых Case методически и ролево валиден.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Версия Case по правилам M0.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Исходная ситуация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Рабочий контекст до появления конкретного Trigger.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Trigger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Событие/запрос/отклонение, которое запускает оценочную задачу и CT-композицию.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Позиция оцениваемого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 что он отвечает, какой объект находится в его зоне ответственности, что он вправе делать самостоятельно.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Участники и позиции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Роли персонажей, их интересы, знания, ограничения, доступная информация и отношения.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Задача оцениваемого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Центральная содержательная задача, которую он должен самостоятельно решить.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Условия и ограничения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Доступные ресурсы, информация, сроки, правила, мандат, зависимости и существенные ограничения.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Applicability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SkillID / ComponentID M2, для которых Case создаёт содержательные условия самостоятельного проявления. Связь с точными IndicatorIDs проверяется по полю 22.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Функциональный результат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Допустимые типы рабочего результата без задания идеального ответа.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Инвариантное ядро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Сохраняемые свойства: CT-композиция, задача, информационная структура, Applicability, IndicatorIDs и условия наблюдения; функциональная эквивалентность ролевых ветвей.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Сценарий Dialogue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Предъявление, информация, реакции, динамика и условия ветвей; связи с IndicatorIDs; завершение основного сценария отдельно от закрытия AS/Dialogue. Границы допустимых оценочных уточнений без нового самостоятельного сценарного действия.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Правила персонализации и ролевой адаптации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Слоты, источники, допустимые замены и отдельные правила для каждой ApplicableBaseRole.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Параметры сложности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Управляемые характеристики условий. Сложность не равна L0–L3.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Плановое время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Рабочая гипотеза длительности Case; калибруется по пилоту.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Риски невалидной реализации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Риски утраты условий IndicatorIDs, ролевой валидности, самостоятельности и сопоставимости; подсказки, непредусмотренные ветви и потеря трассы.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2665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IndicatorIDs</w:t>
            </w:r>
          </w:p>
        </w:tc>
        <w:tc>
          <w:tcPr>
            <w:tcW w:type="dxa" w:w="635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Точный перечень Indicators применяемых версий M2. Для каждого: IndicatorID, версия M2, связь с SkillID/ComponentID, проектные условия наблюдения, место/ветвь сценария и событие её возникновения, доступная форма проявления и риск потери условий. AS конкретизирует эти условия до взаимодействия. Гипотезы дополнительного покрытия отделены от перечня, передаваемого в M6.</w:t>
            </w:r>
          </w:p>
        </w:tc>
      </w:tr>
    </w:tbl>
    <w:p>
      <w:pPr>
        <w:pStyle w:val="Heading1"/>
        <w:keepNext/>
        <w:spacing w:after="80" w:before="160"/>
      </w:pPr>
      <w:r>
        <w:t>3. Правило multi-CT</w:t>
      </w:r>
    </w:p>
    <w:p>
      <w:pPr>
        <w:spacing w:after="40" w:before="0"/>
      </w:pPr>
      <w:r>
        <w:rPr>
          <w:rFonts w:ascii="Arial" w:hAnsi="Arial"/>
          <w:color w:val="000000"/>
        </w:rPr>
        <w:t>Корректный multi-CT Case — это не сумма ярлыков типов, а единая рабочая ситуация, в которой несколько оценочных механизмов образуют связную динамику. Например: CT06 «сбой» запускает анализ отклонения, CT08 «противоречивая информация» усложняет информационное основание, а CT10 «выбор при неопределённости» возникает после получения достаточной картины. Если CT не создаёт самостоятельной функции для действий оцениваемого, его следует исключить из CaseTypeIDs.</w:t>
      </w:r>
    </w:p>
    <w:p>
      <w:pPr>
        <w:pStyle w:val="Heading1"/>
        <w:keepNext/>
        <w:spacing w:after="80" w:before="160"/>
      </w:pPr>
      <w:r>
        <w:t>4. Правило multi-role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422"/>
        <w:gridCol w:w="3402"/>
      </w:tblGrid>
      <w:tr>
        <w:trPr>
          <w:cantSplit/>
          <w:tblHeader/>
        </w:trPr>
        <w:tc>
          <w:tcPr>
            <w:tcW w:type="dxa" w:w="1814"/>
            <w:shd w:fill="1D6F7A"/>
            <w:vAlign w:val="center"/>
            <w:shd w:fill="E5EAF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4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Аспект</w:t>
            </w:r>
          </w:p>
        </w:tc>
        <w:tc>
          <w:tcPr>
            <w:tcW w:type="dxa" w:w="4422"/>
            <w:shd w:fill="1D6F7A"/>
            <w:vAlign w:val="center"/>
            <w:shd w:fill="E5EAF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4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Руководитель команды</w:t>
            </w:r>
          </w:p>
        </w:tc>
        <w:tc>
          <w:tcPr>
            <w:tcW w:type="dxa" w:w="3402"/>
            <w:shd w:fill="1D6F7A"/>
            <w:vAlign w:val="center"/>
            <w:shd w:fill="E5EAF0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60" w:before="40" w:line="245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Менеджер проекта / продукта / процесса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Основной объект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Постоянная команда и её результат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Сквозной проект, продукт или процесс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Полномочия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Прямые полномочия внутри своей команды; договорённости со смежниками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Большинство участников не подчинены; координация через влияние и договорённости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Ресурсы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Может менять загрузку своей команды в пределах мандата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Согласует ресурсы с их владельцами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Обязательное правило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Case не должен требовать полномочий за пределами роли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60" w:before="4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Case не должен предполагать административную власть над участниками</w:t>
            </w:r>
          </w:p>
        </w:tc>
      </w:tr>
    </w:tbl>
    <w:p>
      <w:pPr>
        <w:spacing w:after="40" w:before="0"/>
      </w:pPr>
      <w:r>
        <w:rPr>
          <w:rFonts w:ascii="Arial" w:hAnsi="Arial"/>
          <w:color w:val="000000"/>
        </w:rPr>
        <w:t>Критерий эквивалентности: обе роли решают одну и ту же функциональную задачу, но используют реалистичный для своей роли способ влияния. Если результат достигается только приказом прямому подчинённому или, наоборот, только межфункциональным мандатом, универсальность Case для двух ролей не подтверждается.</w:t>
      </w:r>
    </w:p>
    <w:p>
      <w:pPr>
        <w:pStyle w:val="Heading1"/>
        <w:keepNext/>
        <w:spacing w:after="80" w:before="160"/>
      </w:pPr>
      <w:r>
        <w:t>5. Граница с Assessment Situation и M6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Case фиксирует сценарную конструкцию, Applicability, точные IndicatorIDs и проектные условия наблюдения. AS фиксирует одну роль, контекст, персонализированные значения и конкретную Indicator Observability по этому перечню. Утрата необходимых условий при персонализации блокирует AS до начала; исключение цели после предъявления не исправляет дефект.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Наличие CT, Component или IndicatorID само по себе не означает фактической возможности и Evidence. Если условная ветвь не возникла и других оснований нет, M6 не формирует IA, а M7 учитывает пробел покрытия. Уровни, Evidence Patterns, RF, Evidence, EB и IA не заполняются как содержание паспорта Case; нормативные критерии остаются в M2, интерпретация — в M6.</w:t>
      </w:r>
    </w:p>
    <w:p>
      <w:pPr>
        <w:pStyle w:val="ListBullet"/>
        <w:spacing w:after="40" w:before="0"/>
      </w:pPr>
      <w:r>
        <w:rPr>
          <w:rFonts w:ascii="Arial" w:hAnsi="Arial"/>
          <w:color w:val="000000"/>
        </w:rPr>
        <w:t>В скрининге недостаточность сохраняется как ограничение результата. Конец сценария не означает достаточности и не равен закрытию AS. M7 принимает решение о допустимом уточнении или закрытии; итоговый IA формируется M6 только после завершения AS/Dialogue. Уточнения не создают нового самостоятельного сценарного действия после сценария — для него нужна другая AS.</w:t>
      </w:r>
    </w:p>
    <w:p>
      <w:pPr>
        <w:pStyle w:val="Heading1"/>
        <w:keepNext/>
        <w:spacing w:after="80" w:before="160"/>
      </w:pPr>
      <w:r>
        <w:t>6. Governance</w:t>
      </w:r>
    </w:p>
    <w:p>
      <w:pPr>
        <w:spacing w:after="40" w:before="0"/>
      </w:pPr>
      <w:r>
        <w:rPr>
          <w:rFonts w:ascii="Arial" w:hAnsi="Arial"/>
          <w:color w:val="000000"/>
        </w:rPr>
        <w:t>Статус шаблона — FROZEN v1.1, CURRENT=NO. Утверждён пользователем 29.09.2026. Прежний FROZEN v1.0 сохраняется неизменным. Шаблон согласован с текстом M5 v1.1 и M6 v1.7 в объёме документного QA. Допуск конкретного Case требует собственной проверки IndicatorIDs по M2, ролевых ветвей, сценарных прогонов и QA персонализированных AS.</w:t>
      </w:r>
    </w:p>
    <w:p>
      <w:pPr>
        <w:pStyle w:val="Heading1"/>
        <w:keepNext/>
        <w:spacing w:before="160" w:after="80"/>
      </w:pPr>
      <w:r>
        <w:t>Источники и выпуск</w:t>
      </w:r>
    </w:p>
    <w:p>
      <w:r>
        <w:rPr>
          <w:rFonts w:ascii="Arial" w:hAnsi="Arial"/>
          <w:color w:val="000000"/>
        </w:rPr>
        <w:t>Основания: Паспорт Case и Методология M5 v1.0 FROZEN; M6 v1.7 REVIEW от 29.09.2026, в том числе M6.1.3, M6.4 и M6.6.6–M6.6.9; Методология M5 v1.1 FROZEN, приложения A–C. Полный протокол документного QA и открытые зависимости включены в методологию M5 v1.1.</w:t>
      </w:r>
    </w:p>
    <w:p>
      <w:r>
        <w:rPr>
          <w:rFonts w:ascii="Arial" w:hAnsi="Arial"/>
          <w:color w:val="000000"/>
        </w:rPr>
        <w:t>Изменения v1.1: добавлено поле 22 IndicatorIDs; уточнены сценарное завершение, допустимость оценочных вопросов, пауза и окончательное прекращение, передача фактического Dialogue. Прежние 21 поле и их номера сохранены. Готовые Case по старому шаблону требуют новой версии и собственного QA; этот паспорт их не мигрирует.</w:t>
      </w:r>
    </w:p>
    <w:p>
      <w:r>
        <w:rPr>
          <w:rFonts w:ascii="Arial" w:hAnsi="Arial"/>
          <w:color w:val="000000"/>
        </w:rPr>
        <w:t>Открытые HARD-зависимости согласованного выпуска: обновить M1 для точных IndicatorIDs из Case; согласовать актуальный M7 по уточнениям и закрытию AS; актуализировать ссылки и зависимости M6 на утверждённый M5. Документный QA не заменяет исполнения сценарных и сквозных проверок.</w:t>
      </w:r>
    </w:p>
    <w:p>
      <w:r>
        <w:rPr>
          <w:rFonts w:ascii="Arial" w:hAnsi="Arial"/>
          <w:color w:val="000000"/>
        </w:rPr>
        <w:t>Фиксация FROZEN выполнена по решению пользователя 29.09.2026 с сохранением открытых зависимостей. Для публикации CURRENT завершить их проверку и обновить Sources, Registry и Manifest по M0. До этого CURRENT=NO; прежний FROZEN не перезаписывается.</w:t>
      </w:r>
    </w:p>
    <w:p>
      <w:r>
        <w:rPr>
          <w:rFonts w:ascii="Arial" w:hAnsi="Arial"/>
          <w:color w:val="000000"/>
        </w:rPr>
        <w:t>Дескрипторы и критерии M2 не копируются в шаблон и не переопределяются ролью, персонализацией или целевым профилем. Изменения нормативного содержания оформляются новой версией.</w:t>
      </w:r>
    </w:p>
    <w:p>
      <w:pPr>
        <w:pStyle w:val="Heading1"/>
        <w:keepNext/>
      </w:pPr>
      <w:r>
        <w:t>7. Правила заполнения и передачи</w:t>
      </w:r>
    </w:p>
    <w:p>
      <w:r>
        <w:rPr>
          <w:rFonts w:ascii="Arial" w:hAnsi="Arial"/>
          <w:color w:val="000000"/>
        </w:rPr>
        <w:t>По каждому IndicatorID обосновать, какую самостоятельную возможность создаёт Case и в каком месте сценария. Принадлежность к Skill/Component берётся из применённой версии M2, а не из смысловой догадки. Указать точный нормативный источник, чтобы критерии восстанавливались без копирования дескрипторов.</w:t>
      </w:r>
    </w:p>
    <w:p>
      <w:r>
        <w:rPr>
          <w:rFonts w:ascii="Arial" w:hAnsi="Arial"/>
          <w:color w:val="000000"/>
        </w:rPr>
        <w:t>В поле 17 описать все применимые сценарные ветви до конца основного сценария. После него допустимы вопросы о смысле ответа, основании решения и противоречии. Вопрос не сообщает оцениваемый способ, критерий выбора или образец высокого ответа; его назначение, формулировку и остановку определяет M7 по разбору M6.</w:t>
      </w:r>
    </w:p>
    <w:p>
      <w:r>
        <w:rPr>
          <w:rFonts w:ascii="Arial" w:hAnsi="Arial"/>
          <w:color w:val="000000"/>
        </w:rPr>
        <w:t>В AS и фактическом Dialogue сохранять Case/Version, IndicatorIDs, версии M2, RoleProfile и PersonalizedProfile, роль, материалы, условия, порядок и авторство Turns, события и назначение вопросов. Отдельно фиксировать конец сценария, решения M7 о паузе, возобновлении или закрытии AS/Dialogue и причины. Это данные реализации Case, а не заранее вымышленные ответы в паспорте.</w:t>
      </w:r>
    </w:p>
    <w:p>
      <w:r>
        <w:rPr>
          <w:rFonts w:ascii="Arial" w:hAnsi="Arial"/>
          <w:color w:val="000000"/>
        </w:rPr>
        <w:t>Отсутствующий ответ не оформлять пользовательским Turn. При пустом EB исходный Dialogue и основания фактической возможности остаются доступными M6; IA → EB сохраняет M6 без вымышленных Evidence, BS и Fragments. При проверке невыполнения восстановимы границы просмотренного Dialogue по существующим Turns или событиям и существенные условия.</w:t>
      </w:r>
    </w:p>
    <w:p>
      <w:r>
        <w:rPr>
          <w:rFonts w:ascii="Arial" w:hAnsi="Arial"/>
          <w:color w:val="000000"/>
        </w:rPr>
        <w:t>Case QA проверяет каждую заявленную роль, точные IndicatorIDs, ветвление и ограничения уточнений. AS QA до запуска проверяет сохранение этих целей и конкретных условий. Пауза сохраняет ту же историю без итогового IA; окончательное прекращение фиксирует закрытие и причину. Непроведённые прогоны помечаются NOT_RUN.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sz w:val="16"/>
      </w:rPr>
      <w:t xml:space="preserve">M5 Паспорт Case v1.1 FROZEN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M5 Паспорт Case</dc:title>
  <dc:subject>Методология 4К 1.1</dc:subject>
  <dc:creator>python-docx</dc:creator>
  <cp:keywords/>
  <dc:description>FROZEN по решению пользователя 29.09.2026; CURRENT=NO. Открытые зависимости сохранены.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