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60"/>
      </w:pPr>
      <w:r>
        <w:rPr>
          <w:b/>
          <w:color w:val="1F4E79"/>
          <w:sz w:val="36"/>
        </w:rPr>
        <w:t>M2.K1 — Паспорт компетенции «Коммуникация»</w:t>
      </w:r>
    </w:p>
    <w:p>
      <w:pPr>
        <w:widowControl/>
        <w:spacing w:after="60"/>
      </w:pPr>
      <w:r>
        <w:rPr>
          <w:b/>
          <w:color w:val="595959"/>
        </w:rPr>
        <w:t>Methodology 4К 1.1</w:t>
      </w:r>
    </w:p>
    <w:p>
      <w:pPr>
        <w:widowControl/>
        <w:spacing w:after="60"/>
      </w:pPr>
      <w:r>
        <w:t>Структура компетенции: 4 навыка → 9 компонентов → 17 индикаторов.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654"/>
      </w:tblGrid>
      <w:tr>
        <w:trPr>
          <w:cantSplit w:val="true"/>
        </w:trPr>
        <w:tc>
          <w:tcPr>
            <w:tcW w:type="dxa" w:w="4986"/>
            <w:shd w:fill="F2F2F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ArtifactID</w:t>
            </w:r>
          </w:p>
        </w:tc>
        <w:tc>
          <w:tcPr>
            <w:tcW w:type="dxa" w:w="4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M2.K1</w:t>
            </w:r>
          </w:p>
        </w:tc>
      </w:tr>
      <w:tr>
        <w:trPr>
          <w:cantSplit w:val="true"/>
        </w:trPr>
        <w:tc>
          <w:tcPr>
            <w:tcW w:type="dxa" w:w="4986"/>
            <w:shd w:fill="F2F2F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CompetencyID</w:t>
            </w:r>
          </w:p>
        </w:tc>
        <w:tc>
          <w:tcPr>
            <w:tcW w:type="dxa" w:w="4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K1</w:t>
            </w:r>
          </w:p>
        </w:tc>
      </w:tr>
      <w:tr>
        <w:trPr>
          <w:cantSplit w:val="true"/>
        </w:trPr>
        <w:tc>
          <w:tcPr>
            <w:tcW w:type="dxa" w:w="4986"/>
            <w:shd w:fill="F2F2F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Название</w:t>
            </w:r>
          </w:p>
        </w:tc>
        <w:tc>
          <w:tcPr>
            <w:tcW w:type="dxa" w:w="4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Коммуникация</w:t>
            </w:r>
          </w:p>
        </w:tc>
      </w:tr>
      <w:tr>
        <w:trPr>
          <w:cantSplit w:val="true"/>
        </w:trPr>
        <w:tc>
          <w:tcPr>
            <w:tcW w:type="dxa" w:w="4986"/>
            <w:shd w:fill="F2F2F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Версия</w:t>
            </w:r>
          </w:p>
        </w:tc>
        <w:tc>
          <w:tcPr>
            <w:tcW w:type="dxa" w:w="4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v1.1</w:t>
            </w:r>
          </w:p>
        </w:tc>
      </w:tr>
      <w:tr>
        <w:trPr>
          <w:cantSplit w:val="true"/>
        </w:trPr>
        <w:tc>
          <w:tcPr>
            <w:tcW w:type="dxa" w:w="4986"/>
            <w:shd w:fill="F2F2F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Статус</w:t>
            </w:r>
          </w:p>
        </w:tc>
        <w:tc>
          <w:tcPr>
            <w:tcW w:type="dxa" w:w="4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FROZEN</w:t>
            </w:r>
          </w:p>
        </w:tc>
      </w:tr>
      <w:tr>
        <w:trPr>
          <w:cantSplit w:val="true"/>
        </w:trPr>
        <w:tc>
          <w:tcPr>
            <w:tcW w:type="dxa" w:w="4986"/>
            <w:shd w:fill="F2F2F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CURRENT</w:t>
            </w:r>
          </w:p>
        </w:tc>
        <w:tc>
          <w:tcPr>
            <w:tcW w:type="dxa" w:w="4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YES</w:t>
            </w:r>
          </w:p>
        </w:tc>
      </w:tr>
      <w:tr>
        <w:trPr>
          <w:cantSplit w:val="true"/>
        </w:trPr>
        <w:tc>
          <w:tcPr>
            <w:tcW w:type="dxa" w:w="4986"/>
            <w:shd w:fill="F2F2F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Дата фиксации</w:t>
            </w:r>
          </w:p>
        </w:tc>
        <w:tc>
          <w:tcPr>
            <w:tcW w:type="dxa" w:w="4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08.09.2026</w:t>
            </w:r>
          </w:p>
        </w:tc>
      </w:tr>
      <w:tr>
        <w:trPr>
          <w:cantSplit w:val="true"/>
        </w:trPr>
        <w:tc>
          <w:tcPr>
            <w:tcW w:type="dxa" w:w="4986"/>
            <w:shd w:fill="F2F2F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Нормативная матрица</w:t>
            </w:r>
          </w:p>
        </w:tc>
        <w:tc>
          <w:tcPr>
            <w:tcW w:type="dxa" w:w="4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M2.K1_Матрица_Коммуникация_v1.1_FROZEN.xlsx</w:t>
            </w:r>
          </w:p>
        </w:tc>
      </w:tr>
    </w:tbl>
    <w:p>
      <w:pPr>
        <w:widowControl/>
        <w:spacing w:after="60"/>
      </w:pPr>
    </w:p>
    <w:p>
      <w:pPr>
        <w:pStyle w:val="Heading1"/>
        <w:keepNext/>
        <w:widowControl/>
        <w:spacing w:before="200" w:after="0"/>
      </w:pPr>
      <w:r>
        <w:t>1. Компетенция K1 — Коммуникация</w:t>
      </w:r>
    </w:p>
    <w:p>
      <w:pPr>
        <w:pStyle w:val="Heading2"/>
        <w:keepNext/>
        <w:widowControl/>
        <w:spacing w:before="100" w:after="0"/>
      </w:pPr>
      <w:r>
        <w:t>1.1. Определение</w:t>
      </w:r>
    </w:p>
    <w:p>
      <w:pPr>
        <w:widowControl/>
        <w:spacing w:after="60"/>
      </w:pPr>
      <w:r>
        <w:t>Коммуникация — способность ориентироваться в коммуникативной ситуации, проектировать и реализовывать передачу смысла, восстанавливать существенный смысл другого и согласовывать понимания и позиции участников до явного коммуникативного результата.</w:t>
      </w:r>
    </w:p>
    <w:p>
      <w:pPr>
        <w:pStyle w:val="Heading2"/>
        <w:keepNext/>
        <w:widowControl/>
        <w:spacing w:before="100" w:after="0"/>
      </w:pPr>
      <w:r>
        <w:t>1.2. Функция компетенции</w:t>
      </w:r>
    </w:p>
    <w:p>
      <w:pPr>
        <w:widowControl/>
        <w:spacing w:after="60"/>
      </w:pPr>
      <w:r>
        <w:t>Обеспечивать создание, передачу, восстановление и согласование смысла между участниками взаимодействия с учётом целей, адресатов, контекста, обратной связи и существенных расхождений.</w:t>
      </w:r>
    </w:p>
    <w:p>
      <w:pPr>
        <w:pStyle w:val="Heading2"/>
        <w:keepNext/>
        <w:widowControl/>
        <w:spacing w:before="100" w:after="0"/>
      </w:pPr>
      <w:r>
        <w:t>1.3. Продукт компетенции</w:t>
      </w:r>
    </w:p>
    <w:p>
      <w:pPr>
        <w:widowControl/>
        <w:spacing w:after="60"/>
      </w:pPr>
      <w:r>
        <w:t>Работоспособное коммуникативное взаимодействие, в котором существенный для задачи смысл передан и восстановлен с необходимой точностью, существенные совпадения и расхождения пониманий и позиций сделаны явными, а результат взаимодействия определён и при необходимости зафиксирован.</w:t>
      </w:r>
    </w:p>
    <w:p>
      <w:pPr>
        <w:pStyle w:val="Heading2"/>
        <w:keepNext/>
        <w:widowControl/>
        <w:spacing w:before="100" w:after="0"/>
      </w:pPr>
      <w:r>
        <w:t>1.4. Логика компетенции</w:t>
      </w:r>
    </w:p>
    <w:p>
      <w:pPr>
        <w:widowControl/>
        <w:spacing w:after="60"/>
      </w:pPr>
      <w:r>
        <w:t>Ориентация и проектирование → Передача смысла → Слушание, реконструкция и верификация → Согласование смыслов и позиций.</w:t>
      </w:r>
    </w:p>
    <w:p>
      <w:pPr>
        <w:pStyle w:val="ListBullet"/>
        <w:widowControl/>
        <w:spacing w:after="0"/>
      </w:pPr>
      <w:r>
        <w:t>K1.1 — Ориентация и проектирование коммуникации.</w:t>
      </w:r>
    </w:p>
    <w:p>
      <w:pPr>
        <w:pStyle w:val="ListBullet"/>
        <w:widowControl/>
        <w:spacing w:after="0"/>
      </w:pPr>
      <w:r>
        <w:t>K1.2 — Передача смысла.</w:t>
      </w:r>
    </w:p>
    <w:p>
      <w:pPr>
        <w:pStyle w:val="ListBullet"/>
        <w:widowControl/>
        <w:spacing w:after="0"/>
      </w:pPr>
      <w:r>
        <w:t>K1.3 — Слушание, реконструкция и верификация смысла другого.</w:t>
      </w:r>
    </w:p>
    <w:p>
      <w:pPr>
        <w:pStyle w:val="ListBullet"/>
        <w:widowControl/>
        <w:spacing w:after="0"/>
      </w:pPr>
      <w:r>
        <w:t>K1.4 — Согласование смыслов и позиций.</w:t>
      </w:r>
    </w:p>
    <w:p>
      <w:pPr>
        <w:widowControl/>
        <w:spacing w:after="60"/>
      </w:pPr>
      <w:r>
        <w:t>Коммуникативный процесс цикличен: реакция и обратная связь могут возвращать взаимодействие к повторной ориентации, выбору стратегии, изменению сообщения, способа слушания или согласования.</w:t>
      </w:r>
    </w:p>
    <w:p>
      <w:pPr>
        <w:pStyle w:val="Heading1"/>
        <w:keepNext/>
        <w:widowControl/>
        <w:spacing w:before="200" w:after="0"/>
      </w:pPr>
      <w:r>
        <w:t>2. Архитектура компетенции</w:t>
      </w:r>
    </w:p>
    <w:p>
      <w:pPr>
        <w:pStyle w:val="Heading2"/>
        <w:keepNext/>
        <w:widowControl/>
        <w:spacing w:before="100" w:after="0"/>
      </w:pPr>
      <w:r>
        <w:t>K1.1 — Ориентация и проектирование коммуникации</w:t>
      </w:r>
    </w:p>
    <w:p>
      <w:pPr>
        <w:pStyle w:val="Label"/>
        <w:keepNext/>
        <w:widowControl/>
      </w:pPr>
      <w:r>
        <w:t>Функция</w:t>
      </w:r>
    </w:p>
    <w:p>
      <w:pPr>
        <w:widowControl/>
        <w:spacing w:after="60"/>
      </w:pPr>
      <w:r>
        <w:t>Сформировать достаточное представление о коммуникативной ситуации и на его основе выбрать способ коммуникативного действия.</w:t>
      </w:r>
    </w:p>
    <w:p>
      <w:pPr>
        <w:pStyle w:val="Label"/>
        <w:keepNext/>
        <w:widowControl/>
      </w:pPr>
      <w:r>
        <w:t>Продукт</w:t>
      </w:r>
    </w:p>
    <w:p>
      <w:pPr>
        <w:widowControl/>
        <w:spacing w:after="60"/>
      </w:pPr>
      <w:r>
        <w:t>Спроектированное коммуникативное действие, соответствующее цели взаимодействия, участникам, их позициям, ролевому и межличностному контексту.</w:t>
      </w:r>
    </w:p>
    <w:p>
      <w:pPr>
        <w:pStyle w:val="Label"/>
        <w:keepNext/>
        <w:widowControl/>
      </w:pPr>
      <w:r>
        <w:t>Место в логике K1</w:t>
      </w:r>
    </w:p>
    <w:p>
      <w:pPr>
        <w:widowControl/>
        <w:spacing w:after="60"/>
      </w:pPr>
      <w:r>
        <w:t>Навык формирует ориентационное основание коммуникации: позволяет понять существенные условия взаимодействия и преобразовать их в общую стратегию и конкретный коммуникативный ход. В ходе диалога этот этап может повторяться при изменении ситуации.</w:t>
      </w:r>
    </w:p>
    <w:p>
      <w:pPr>
        <w:pStyle w:val="Label"/>
        <w:keepNext/>
        <w:widowControl/>
      </w:pPr>
      <w:r>
        <w:t>Компоненты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true"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F4E79"/>
                <w:sz w:val="17"/>
              </w:rPr>
              <w:t>ComponentID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F4E79"/>
                <w:sz w:val="17"/>
              </w:rPr>
              <w:t>Компонент</w:t>
            </w:r>
          </w:p>
        </w:tc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F4E79"/>
                <w:sz w:val="17"/>
              </w:rPr>
              <w:t>Определение</w:t>
            </w:r>
          </w:p>
        </w:tc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F4E79"/>
                <w:sz w:val="17"/>
              </w:rPr>
              <w:t>Indicators</w:t>
            </w:r>
          </w:p>
        </w:tc>
      </w:tr>
      <w:tr>
        <w:trPr>
          <w:cantSplit w:val="true"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K1.C01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Ориентация в коммуникативной ситуации</w:t>
            </w:r>
          </w:p>
        </w:tc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Сторона навыка, обеспечивающая построение рабочей картины коммуникативной ситуации через различение целей, интересов и позиций участников, учёт их ролей и полномочий, а также характера отношений и межличностного контекста.</w:t>
            </w:r>
          </w:p>
        </w:tc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K1.I01–I03</w:t>
            </w:r>
          </w:p>
        </w:tc>
      </w:tr>
      <w:tr>
        <w:trPr>
          <w:cantSplit w:val="true"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K1.C02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Проектирование коммуникативного действия</w:t>
            </w:r>
          </w:p>
        </w:tc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Сторона навыка, обеспечивающая преобразование ориентации в замысел действия: выбор общей коммуникационной стратегии и конкретного коммуникативного хода, соответствующих цели и текущему состоянию взаимодействия.</w:t>
            </w:r>
          </w:p>
        </w:tc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K1.I04–I05</w:t>
            </w:r>
          </w:p>
        </w:tc>
      </w:tr>
    </w:tbl>
    <w:p>
      <w:pPr>
        <w:pStyle w:val="Label"/>
        <w:keepNext/>
        <w:widowControl/>
      </w:pPr>
      <w:r>
        <w:t>Граница навыка</w:t>
      </w:r>
    </w:p>
    <w:p>
      <w:pPr>
        <w:widowControl/>
        <w:spacing w:after="60"/>
      </w:pPr>
      <w:r>
        <w:t>K1.1 заканчивается там, где сформировано достаточное представление о ситуации и выбран общий способ и ближайший ход взаимодействия. Формирование, кодирование и передача содержания сообщения относятся к K1.2; организация слушания и проверка понимания другого — к K1.3; работа с проявившимися смысловыми и позиционными расхождениями — к K1.4.</w:t>
      </w:r>
    </w:p>
    <w:p>
      <w:pPr>
        <w:pStyle w:val="Heading2"/>
        <w:keepNext/>
        <w:widowControl/>
        <w:spacing w:before="100" w:after="0"/>
      </w:pPr>
      <w:r>
        <w:t>K1.2 — Передача смысла</w:t>
      </w:r>
    </w:p>
    <w:p>
      <w:pPr>
        <w:pStyle w:val="Label"/>
        <w:keepNext/>
        <w:widowControl/>
      </w:pPr>
      <w:r>
        <w:t>Функция</w:t>
      </w:r>
    </w:p>
    <w:p>
      <w:pPr>
        <w:widowControl/>
        <w:spacing w:after="60"/>
      </w:pPr>
      <w:r>
        <w:t>Сформировать, закодировать и передать сообщение таким образом, чтобы конкретный адресат в заданном контексте мог восстановить существенный для коммуникативной задачи смысл с приемлемым риском искажения.</w:t>
      </w:r>
    </w:p>
    <w:p>
      <w:pPr>
        <w:pStyle w:val="Label"/>
        <w:keepNext/>
        <w:widowControl/>
      </w:pPr>
      <w:r>
        <w:t>Продукт</w:t>
      </w:r>
    </w:p>
    <w:p>
      <w:pPr>
        <w:widowControl/>
        <w:spacing w:after="60"/>
      </w:pPr>
      <w:r>
        <w:t>Переданное сообщение, пригодное для восстановления адресатом существенного смысла, заданного коммуникативной задачей.</w:t>
      </w:r>
    </w:p>
    <w:p>
      <w:pPr>
        <w:pStyle w:val="Label"/>
        <w:keepNext/>
        <w:widowControl/>
      </w:pPr>
      <w:r>
        <w:t>Место в логике K1</w:t>
      </w:r>
    </w:p>
    <w:p>
      <w:pPr>
        <w:widowControl/>
        <w:spacing w:after="60"/>
      </w:pPr>
      <w:r>
        <w:t>Навык реализует исходящий контур коммуникации: преобразует выбранное коммуникативное действие в содержание, его организацию и выражение для конкретного адресата, выбирает способ передачи и управляет рисками искажения смысла.</w:t>
      </w:r>
    </w:p>
    <w:p>
      <w:pPr>
        <w:pStyle w:val="Label"/>
        <w:keepNext/>
        <w:widowControl/>
      </w:pPr>
      <w:r>
        <w:t>Компоненты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true"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F4E79"/>
                <w:sz w:val="17"/>
              </w:rPr>
              <w:t>ComponentID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F4E79"/>
                <w:sz w:val="17"/>
              </w:rPr>
              <w:t>Компонент</w:t>
            </w:r>
          </w:p>
        </w:tc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F4E79"/>
                <w:sz w:val="17"/>
              </w:rPr>
              <w:t>Определение</w:t>
            </w:r>
          </w:p>
        </w:tc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F4E79"/>
                <w:sz w:val="17"/>
              </w:rPr>
              <w:t>Indicators</w:t>
            </w:r>
          </w:p>
        </w:tc>
      </w:tr>
      <w:tr>
        <w:trPr>
          <w:cantSplit w:val="true"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K1.C03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Формирование и организация сообщения</w:t>
            </w:r>
          </w:p>
        </w:tc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Сторона навыка, связанная с формированием содержания сообщения: отбором релевантной и достаточной информации и её организацией в целостное представление.</w:t>
            </w:r>
          </w:p>
        </w:tc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K1.I06–I07</w:t>
            </w:r>
          </w:p>
        </w:tc>
      </w:tr>
      <w:tr>
        <w:trPr>
          <w:cantSplit w:val="true"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K1.C04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Кодирование смысла для адресата</w:t>
            </w:r>
          </w:p>
        </w:tc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Сторона навыка, связанная с выражением содержания для конкретного адресата: адаптацией языка и формы при сохранении точности, существенных смысловых различий и необходимой однозначности.</w:t>
            </w:r>
          </w:p>
        </w:tc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K1.I08–I09</w:t>
            </w:r>
          </w:p>
        </w:tc>
      </w:tr>
      <w:tr>
        <w:trPr>
          <w:cantSplit w:val="true"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K1.C05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Канал и надёжность передачи</w:t>
            </w:r>
          </w:p>
        </w:tc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Сторона навыка, обеспечивающая выбор и использование подходящего канала или сочетания каналов и управление существенными рисками искажения смысла в процессе передачи.</w:t>
            </w:r>
          </w:p>
        </w:tc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K1.I10–I11</w:t>
            </w:r>
          </w:p>
        </w:tc>
      </w:tr>
    </w:tbl>
    <w:p>
      <w:pPr>
        <w:pStyle w:val="Label"/>
        <w:keepNext/>
        <w:widowControl/>
      </w:pPr>
      <w:r>
        <w:t>Граница навыка</w:t>
      </w:r>
    </w:p>
    <w:p>
      <w:pPr>
        <w:widowControl/>
        <w:spacing w:after="60"/>
      </w:pPr>
      <w:r>
        <w:t>K1.2 заканчивается передачей сообщения через выбранный канал при необходимом управлении рисками искажения. Восстановление и проверка смысла входящего сообщения относятся к K1.3; формирование общего смыслового основания и работа с расхождениями — к K1.4.</w:t>
      </w:r>
    </w:p>
    <w:p>
      <w:pPr>
        <w:pStyle w:val="Heading2"/>
        <w:keepNext/>
        <w:widowControl/>
        <w:spacing w:before="100" w:after="0"/>
      </w:pPr>
      <w:r>
        <w:t>K1.3 — Слушание, реконструкция и верификация смысла другого</w:t>
      </w:r>
    </w:p>
    <w:p>
      <w:pPr>
        <w:pStyle w:val="Label"/>
        <w:keepNext/>
        <w:widowControl/>
      </w:pPr>
      <w:r>
        <w:t>Функция</w:t>
      </w:r>
    </w:p>
    <w:p>
      <w:pPr>
        <w:widowControl/>
        <w:spacing w:after="60"/>
      </w:pPr>
      <w:r>
        <w:t>Восстанавливать существенный смысл сообщения другого и проверять корректность собственного понимания.</w:t>
      </w:r>
    </w:p>
    <w:p>
      <w:pPr>
        <w:pStyle w:val="Label"/>
        <w:keepNext/>
        <w:widowControl/>
      </w:pPr>
      <w:r>
        <w:t>Продукт</w:t>
      </w:r>
    </w:p>
    <w:p>
      <w:pPr>
        <w:widowControl/>
        <w:spacing w:after="60"/>
      </w:pPr>
      <w:r>
        <w:t>Верифицированное понимание существенного смысла и позиции другого, при котором критичная неопределённость прояснена, а собственная интерпретация не подменяет исходное сообщение.</w:t>
      </w:r>
    </w:p>
    <w:p>
      <w:pPr>
        <w:pStyle w:val="Label"/>
        <w:keepNext/>
        <w:widowControl/>
      </w:pPr>
      <w:r>
        <w:t>Место в логике K1</w:t>
      </w:r>
    </w:p>
    <w:p>
      <w:pPr>
        <w:widowControl/>
        <w:spacing w:after="60"/>
      </w:pPr>
      <w:r>
        <w:t>Навык реализует входящий контур коммуникации: организует слушание, реконструирует смысл и позицию другого и проверяет собственное понимание. Его продукт становится основанием для последующего согласования смыслов и позиций.</w:t>
      </w:r>
    </w:p>
    <w:p>
      <w:pPr>
        <w:pStyle w:val="Label"/>
        <w:keepNext/>
        <w:widowControl/>
      </w:pPr>
      <w:r>
        <w:t>Компоненты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true"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F4E79"/>
                <w:sz w:val="17"/>
              </w:rPr>
              <w:t>ComponentID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F4E79"/>
                <w:sz w:val="17"/>
              </w:rPr>
              <w:t>Компонент</w:t>
            </w:r>
          </w:p>
        </w:tc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F4E79"/>
                <w:sz w:val="17"/>
              </w:rPr>
              <w:t>Определение</w:t>
            </w:r>
          </w:p>
        </w:tc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F4E79"/>
                <w:sz w:val="17"/>
              </w:rPr>
              <w:t>Indicators</w:t>
            </w:r>
          </w:p>
        </w:tc>
      </w:tr>
      <w:tr>
        <w:trPr>
          <w:cantSplit w:val="true"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K1.C06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Слушание и восприятие сообщения</w:t>
            </w:r>
          </w:p>
        </w:tc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Сторона навыка, связанная с организацией слушания как наблюдаемого способа восприятия сообщения: выбором и переключением режима слушания в соответствии с текущей задачей взаимодействия.</w:t>
            </w:r>
          </w:p>
        </w:tc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K1.I12</w:t>
            </w:r>
          </w:p>
        </w:tc>
      </w:tr>
      <w:tr>
        <w:trPr>
          <w:cantSplit w:val="true"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K1.C07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Реконструкция и верификация смысла другого</w:t>
            </w:r>
          </w:p>
        </w:tc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Сторона навыка, обеспечивающая восстановление существенного содержания и позиции другого по фактически выраженному сообщению и проверку собственной реконструкции через целенаправленное прояснение.</w:t>
            </w:r>
          </w:p>
        </w:tc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K1.I13–I14</w:t>
            </w:r>
          </w:p>
        </w:tc>
      </w:tr>
    </w:tbl>
    <w:p>
      <w:pPr>
        <w:pStyle w:val="Label"/>
        <w:keepNext/>
        <w:widowControl/>
      </w:pPr>
      <w:r>
        <w:t>Граница навыка</w:t>
      </w:r>
    </w:p>
    <w:p>
      <w:pPr>
        <w:widowControl/>
        <w:spacing w:after="60"/>
      </w:pPr>
      <w:r>
        <w:t>K1.3 заканчивается там, где существенный смысл и позиция другого реконструированы и критичная неопределённость собственного понимания проверена в необходимой степени. Формирование совместно проверяемого общего смыслового основания между участниками относится к K1.4.</w:t>
      </w:r>
    </w:p>
    <w:p>
      <w:pPr>
        <w:pStyle w:val="Heading2"/>
        <w:keepNext/>
        <w:widowControl/>
        <w:spacing w:before="100" w:after="0"/>
      </w:pPr>
      <w:r>
        <w:t>K1.4 — Согласование смыслов и позиций</w:t>
      </w:r>
    </w:p>
    <w:p>
      <w:pPr>
        <w:pStyle w:val="Label"/>
        <w:keepNext/>
        <w:widowControl/>
      </w:pPr>
      <w:r>
        <w:t>Функция</w:t>
      </w:r>
    </w:p>
    <w:p>
      <w:pPr>
        <w:widowControl/>
        <w:spacing w:after="60"/>
      </w:pPr>
      <w:r>
        <w:t>Формировать общее смысловое основание взаимодействия, делать явными существенные расхождения и переводить их в состояние, позволяющее продолжать взаимодействие.</w:t>
      </w:r>
    </w:p>
    <w:p>
      <w:pPr>
        <w:pStyle w:val="Label"/>
        <w:keepNext/>
        <w:widowControl/>
      </w:pPr>
      <w:r>
        <w:t>Продукт</w:t>
      </w:r>
    </w:p>
    <w:p>
      <w:pPr>
        <w:widowControl/>
        <w:spacing w:after="60"/>
      </w:pPr>
      <w:r>
        <w:t>Установленное общее смысловое основание, при котором существенные совпадения и расхождения понятны участникам, а состояние дальнейшего взаимодействия явно определено.</w:t>
      </w:r>
    </w:p>
    <w:p>
      <w:pPr>
        <w:pStyle w:val="Label"/>
        <w:keepNext/>
        <w:widowControl/>
      </w:pPr>
      <w:r>
        <w:t>Место в логике K1</w:t>
      </w:r>
    </w:p>
    <w:p>
      <w:pPr>
        <w:widowControl/>
        <w:spacing w:after="60"/>
      </w:pPr>
      <w:r>
        <w:t>Навык интегрирует индивидуальные понимания участников в общее смысловое поле, обеспечивает коммуникативную работу с сохраняющимися расхождениями и завершает значимый этап взаимодействия явным коммуникативным результатом. Общее смысловое основание не требует одинаковой позиции или полного согласия.</w:t>
      </w:r>
    </w:p>
    <w:p>
      <w:pPr>
        <w:pStyle w:val="Label"/>
        <w:keepNext/>
        <w:widowControl/>
      </w:pPr>
      <w:r>
        <w:t>Компоненты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true"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F4E79"/>
                <w:sz w:val="17"/>
              </w:rPr>
              <w:t>ComponentID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F4E79"/>
                <w:sz w:val="17"/>
              </w:rPr>
              <w:t>Компонент</w:t>
            </w:r>
          </w:p>
        </w:tc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F4E79"/>
                <w:sz w:val="17"/>
              </w:rPr>
              <w:t>Определение</w:t>
            </w:r>
          </w:p>
        </w:tc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F4E79"/>
                <w:sz w:val="17"/>
              </w:rPr>
              <w:t>Indicators</w:t>
            </w:r>
          </w:p>
        </w:tc>
      </w:tr>
      <w:tr>
        <w:trPr>
          <w:cantSplit w:val="true"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K1.C08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Формирование общего смыслового основания</w:t>
            </w:r>
          </w:p>
        </w:tc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Сторона навыка, связанная с построением совместно проверяемого общего смыслового основания, в котором участники понимают существенные совпадения и различия своих трактовок.</w:t>
            </w:r>
          </w:p>
        </w:tc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K1.I15</w:t>
            </w:r>
          </w:p>
        </w:tc>
      </w:tr>
      <w:tr>
        <w:trPr>
          <w:cantSplit w:val="true"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K1.C09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Работа с расхождениями и завершение взаимодействия</w:t>
            </w:r>
          </w:p>
        </w:tc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Сторона навыка, обеспечивающая коммуникативную обработку существенных расхождений и перевод взаимодействия к явно определённому и при необходимости зафиксированному результату.</w:t>
            </w:r>
          </w:p>
        </w:tc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K1.I16–I17</w:t>
            </w:r>
          </w:p>
        </w:tc>
      </w:tr>
    </w:tbl>
    <w:p>
      <w:pPr>
        <w:pStyle w:val="Label"/>
        <w:keepNext/>
        <w:widowControl/>
      </w:pPr>
      <w:r>
        <w:t>Граница навыка</w:t>
      </w:r>
    </w:p>
    <w:p>
      <w:pPr>
        <w:widowControl/>
        <w:spacing w:after="60"/>
      </w:pPr>
      <w:r>
        <w:t>K1.4 заканчивается там, где существенное общее и различающееся сделано явным, значимые расхождения коммуникативно обработаны в необходимой степени и результат взаимодействия определён. Организация совместной деятельности и рабочей договорённости как продукта командной работы относятся к K2; содержательная обоснованность решения — к K4.</w:t>
      </w:r>
    </w:p>
    <w:p>
      <w:pPr>
        <w:pStyle w:val="Heading1"/>
        <w:keepNext/>
        <w:widowControl/>
        <w:spacing w:before="200" w:after="0"/>
      </w:pPr>
      <w:r>
        <w:t>3. Компактная карта K1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 w:val="true"/>
        </w:trPr>
        <w:tc>
          <w:tcPr>
            <w:tcW w:type="dxa" w:w="19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F4E79"/>
                <w:sz w:val="17"/>
              </w:rPr>
              <w:t>SkillID</w:t>
            </w:r>
          </w:p>
        </w:tc>
        <w:tc>
          <w:tcPr>
            <w:tcW w:type="dxa" w:w="19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F4E79"/>
                <w:sz w:val="17"/>
              </w:rPr>
              <w:t>Навык</w:t>
            </w:r>
          </w:p>
        </w:tc>
        <w:tc>
          <w:tcPr>
            <w:tcW w:type="dxa" w:w="19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F4E79"/>
                <w:sz w:val="17"/>
              </w:rPr>
              <w:t>Компоненты</w:t>
            </w:r>
          </w:p>
        </w:tc>
        <w:tc>
          <w:tcPr>
            <w:tcW w:type="dxa" w:w="19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F4E79"/>
                <w:sz w:val="17"/>
              </w:rPr>
              <w:t>Индикаторы</w:t>
            </w:r>
          </w:p>
        </w:tc>
        <w:tc>
          <w:tcPr>
            <w:tcW w:type="dxa" w:w="19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F4E79"/>
                <w:sz w:val="17"/>
              </w:rPr>
              <w:t>Результат функционального этапа</w:t>
            </w:r>
          </w:p>
        </w:tc>
      </w:tr>
      <w:tr>
        <w:trPr>
          <w:cantSplit w:val="true"/>
        </w:trPr>
        <w:tc>
          <w:tcPr>
            <w:tcW w:type="dxa" w:w="19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K1.1</w:t>
            </w:r>
          </w:p>
        </w:tc>
        <w:tc>
          <w:tcPr>
            <w:tcW w:type="dxa" w:w="19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Ориентация и проектирование коммуникации</w:t>
            </w:r>
          </w:p>
        </w:tc>
        <w:tc>
          <w:tcPr>
            <w:tcW w:type="dxa" w:w="19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K1.C01–C02</w:t>
            </w:r>
          </w:p>
        </w:tc>
        <w:tc>
          <w:tcPr>
            <w:tcW w:type="dxa" w:w="19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K1.I01–I05</w:t>
            </w:r>
          </w:p>
        </w:tc>
        <w:tc>
          <w:tcPr>
            <w:tcW w:type="dxa" w:w="19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Спроектированное коммуникативное действие</w:t>
            </w:r>
          </w:p>
        </w:tc>
      </w:tr>
      <w:tr>
        <w:trPr>
          <w:cantSplit w:val="true"/>
        </w:trPr>
        <w:tc>
          <w:tcPr>
            <w:tcW w:type="dxa" w:w="19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K1.2</w:t>
            </w:r>
          </w:p>
        </w:tc>
        <w:tc>
          <w:tcPr>
            <w:tcW w:type="dxa" w:w="19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Передача смысла</w:t>
            </w:r>
          </w:p>
        </w:tc>
        <w:tc>
          <w:tcPr>
            <w:tcW w:type="dxa" w:w="19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K1.C03–C05</w:t>
            </w:r>
          </w:p>
        </w:tc>
        <w:tc>
          <w:tcPr>
            <w:tcW w:type="dxa" w:w="19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K1.I06–I11</w:t>
            </w:r>
          </w:p>
        </w:tc>
        <w:tc>
          <w:tcPr>
            <w:tcW w:type="dxa" w:w="19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Переданное сообщение, пригодное для восстановления существенного смысла адресатом</w:t>
            </w:r>
          </w:p>
        </w:tc>
      </w:tr>
      <w:tr>
        <w:trPr>
          <w:cantSplit w:val="true"/>
        </w:trPr>
        <w:tc>
          <w:tcPr>
            <w:tcW w:type="dxa" w:w="19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K1.3</w:t>
            </w:r>
          </w:p>
        </w:tc>
        <w:tc>
          <w:tcPr>
            <w:tcW w:type="dxa" w:w="19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Слушание, реконструкция и верификация смысла другого</w:t>
            </w:r>
          </w:p>
        </w:tc>
        <w:tc>
          <w:tcPr>
            <w:tcW w:type="dxa" w:w="19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K1.C06–C07</w:t>
            </w:r>
          </w:p>
        </w:tc>
        <w:tc>
          <w:tcPr>
            <w:tcW w:type="dxa" w:w="19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K1.I12–I14</w:t>
            </w:r>
          </w:p>
        </w:tc>
        <w:tc>
          <w:tcPr>
            <w:tcW w:type="dxa" w:w="19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Верифицированное понимание смысла и позиции другого</w:t>
            </w:r>
          </w:p>
        </w:tc>
      </w:tr>
      <w:tr>
        <w:trPr>
          <w:cantSplit w:val="true"/>
        </w:trPr>
        <w:tc>
          <w:tcPr>
            <w:tcW w:type="dxa" w:w="19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K1.4</w:t>
            </w:r>
          </w:p>
        </w:tc>
        <w:tc>
          <w:tcPr>
            <w:tcW w:type="dxa" w:w="19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Согласование смыслов и позиций</w:t>
            </w:r>
          </w:p>
        </w:tc>
        <w:tc>
          <w:tcPr>
            <w:tcW w:type="dxa" w:w="19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K1.C08–C09</w:t>
            </w:r>
          </w:p>
        </w:tc>
        <w:tc>
          <w:tcPr>
            <w:tcW w:type="dxa" w:w="19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K1.I15–I17</w:t>
            </w:r>
          </w:p>
        </w:tc>
        <w:tc>
          <w:tcPr>
            <w:tcW w:type="dxa" w:w="19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Общее смысловое основание и явно определённый коммуникативный результат</w:t>
            </w:r>
          </w:p>
        </w:tc>
      </w:tr>
    </w:tbl>
    <w:p>
      <w:pPr>
        <w:widowControl/>
        <w:spacing w:after="60"/>
      </w:pPr>
      <w:r>
        <w:t>Примечание по адресации: v1.1 использует новую сквозную каноническую адресацию K1.C01–K1.C09 и K1.I01–K1.I17, сформированную после полной пересборки структуры K1.</w:t>
      </w:r>
    </w:p>
    <w:p>
      <w:pPr>
        <w:widowControl/>
        <w:spacing w:after="60"/>
      </w:pPr>
      <w:r>
        <w:t>Сквозная логика: ориентация и проектирование → передача смысла → слушание и верификация → согласование смыслов и позиций.</w:t>
      </w:r>
    </w:p>
    <w:p>
      <w:pPr>
        <w:pStyle w:val="Heading1"/>
        <w:keepNext/>
        <w:widowControl/>
        <w:spacing w:before="200" w:after="0"/>
      </w:pPr>
      <w:r>
        <w:t>4. Методические примечания K1</w:t>
      </w:r>
    </w:p>
    <w:p>
      <w:pPr>
        <w:pStyle w:val="Heading2"/>
        <w:keepNext/>
        <w:widowControl/>
        <w:spacing w:before="100" w:after="0"/>
      </w:pPr>
      <w:r>
        <w:t>4.1. Наблюдаемое проявление и свёрнутая компетентность</w:t>
      </w:r>
    </w:p>
    <w:p>
      <w:pPr>
        <w:widowControl/>
        <w:spacing w:after="60"/>
      </w:pPr>
      <w:r>
        <w:t>Проявление Indicator K1 не требует от оцениваемого осознанного называния или объяснения используемого коммуникативного механизма. Уровень определяется прежде всего по наблюдаемой организации коммуникативного поведения и его продукту. Экспликация собственного способа действия может использоваться как дополнительное Evidence, но не является обязательным условием высокого уровня, если сам Indicator не предполагает рефлексивного действия.</w:t>
      </w:r>
    </w:p>
    <w:p>
      <w:pPr>
        <w:widowControl/>
        <w:spacing w:after="60"/>
      </w:pPr>
      <w:r>
        <w:t>Следствие для оценки: L0–L3 не должны подменять оценку коммуникативного действия оценкой способности человека объяснить, как он коммуницирует. Особенно это существенно для выбора стратегии и акта, формирования сообщения, адресной адаптации, точности выражения, выбора канала, управления искажениями и слушания.</w:t>
      </w:r>
    </w:p>
    <w:p>
      <w:pPr>
        <w:pStyle w:val="Heading2"/>
        <w:keepNext/>
        <w:widowControl/>
        <w:spacing w:before="100" w:after="0"/>
      </w:pPr>
      <w:r>
        <w:t>4.2. Классы рисков искажений для K1.I11</w:t>
      </w:r>
    </w:p>
    <w:p>
      <w:pPr>
        <w:widowControl/>
        <w:spacing w:after="60"/>
      </w:pPr>
      <w:r>
        <w:t>Для проектирования Assessment Situations, разметки наблюдаемости и анализа Evidence может использоваться открытая типология источников риска искажения смысла:</w:t>
      </w:r>
    </w:p>
    <w:p>
      <w:pPr>
        <w:pStyle w:val="ListBullet"/>
        <w:widowControl/>
        <w:spacing w:after="0"/>
      </w:pPr>
      <w:r>
        <w:t>семантические — неодинаковое значение терминов, неоднозначность и различающиеся смысловые рамки;</w:t>
      </w:r>
    </w:p>
    <w:p>
      <w:pPr>
        <w:pStyle w:val="ListBullet"/>
        <w:widowControl/>
        <w:spacing w:after="0"/>
      </w:pPr>
      <w:r>
        <w:t>контекстные — различия исходной информации, опыта, предпосылок и доступного контекста;</w:t>
      </w:r>
    </w:p>
    <w:p>
      <w:pPr>
        <w:pStyle w:val="ListBullet"/>
        <w:widowControl/>
        <w:spacing w:after="0"/>
      </w:pPr>
      <w:r>
        <w:t>эмоциональные — наблюдаемое напряжение, защитные реакции или эмоциональная заряженность, способные влиять на передачу и восприятие смысла;</w:t>
      </w:r>
    </w:p>
    <w:p>
      <w:pPr>
        <w:pStyle w:val="ListBullet"/>
        <w:widowControl/>
        <w:spacing w:after="0"/>
      </w:pPr>
      <w:r>
        <w:t>социально-ролевые — статусная дистанция, давление, ожидания и особенности отношений, влияющие на коммуникацию;</w:t>
      </w:r>
    </w:p>
    <w:p>
      <w:pPr>
        <w:pStyle w:val="ListBullet"/>
        <w:widowControl/>
        <w:spacing w:after="0"/>
      </w:pPr>
      <w:r>
        <w:t>когнитивно-интерпретационные — устойчивые преждевременные или выборочные интерпретации, если они проявляются в наблюдаемом поведении;</w:t>
      </w:r>
    </w:p>
    <w:p>
      <w:pPr>
        <w:pStyle w:val="ListBullet"/>
        <w:widowControl/>
        <w:spacing w:after="0"/>
      </w:pPr>
      <w:r>
        <w:t>канальные / технические — потеря, задержка, отсутствие фиксации и иные ограничения среды передачи.</w:t>
      </w:r>
    </w:p>
    <w:p>
      <w:pPr>
        <w:widowControl/>
        <w:spacing w:after="60"/>
      </w:pPr>
      <w:r>
        <w:t>Типология является методическим классификатором и не образует дополнительных Components, Indicators или уровней. Наличие конкретного типа риска само по себе не является Evidence. Evidence по K1.I11 требует наблюдаемого действия в отношении конкретного риска или проявившегося искажения. Скрытые эмоции, мотивы и когнитивные искажения не диагностируются без наблюдаемого основания.</w:t>
      </w:r>
    </w:p>
    <w:p>
      <w:pPr>
        <w:pStyle w:val="Heading2"/>
        <w:keepNext/>
        <w:widowControl/>
        <w:spacing w:before="100" w:after="0"/>
      </w:pPr>
      <w:r>
        <w:t>4.3. Режимы слушания для K1.I12</w:t>
      </w:r>
    </w:p>
    <w:p>
      <w:pPr>
        <w:widowControl/>
        <w:spacing w:after="60"/>
      </w:pPr>
      <w:r>
        <w:t>Внутри K1.I12 может использоваться методическая типология режимов слушания:</w:t>
      </w:r>
    </w:p>
    <w:p>
      <w:pPr>
        <w:pStyle w:val="ListBullet"/>
        <w:widowControl/>
        <w:spacing w:after="0"/>
      </w:pPr>
      <w:r>
        <w:t>информационное — получение фактов и существенного содержания сообщения;</w:t>
      </w:r>
    </w:p>
    <w:p>
      <w:pPr>
        <w:pStyle w:val="ListBullet"/>
        <w:widowControl/>
        <w:spacing w:after="0"/>
      </w:pPr>
      <w:r>
        <w:t>активно-рефлексивное — удержание и отражение смысла сообщения для поддержания понимания;</w:t>
      </w:r>
    </w:p>
    <w:p>
      <w:pPr>
        <w:pStyle w:val="ListBullet"/>
        <w:widowControl/>
        <w:spacing w:after="0"/>
      </w:pPr>
      <w:r>
        <w:t>проясняющее — работа с неопределённостью, неоднозначностью и недостающим содержанием;</w:t>
      </w:r>
    </w:p>
    <w:p>
      <w:pPr>
        <w:pStyle w:val="ListBullet"/>
        <w:widowControl/>
        <w:spacing w:after="0"/>
      </w:pPr>
      <w:r>
        <w:t>поддерживающее / эмпатическое — организация слушания, сохраняющая рабочий контакт и пространство для выражения значимого содержания при наблюдаемой эмоциональной чувствительности взаимодействия;</w:t>
      </w:r>
    </w:p>
    <w:p>
      <w:pPr>
        <w:pStyle w:val="ListBullet"/>
        <w:widowControl/>
        <w:spacing w:after="0"/>
      </w:pPr>
      <w:r>
        <w:t>критическое — слушание, ориентированное на проверку утверждений и оснований; содержательная оценка достоверности и логики относится к K4.</w:t>
      </w:r>
    </w:p>
    <w:p>
      <w:pPr>
        <w:widowControl/>
        <w:spacing w:after="60"/>
      </w:pPr>
      <w:r>
        <w:t>Режимы слушания не являются отдельными Indicators и не соответствуют уровням L0–L3. Уровень K1.I12 определяется качеством выбора и переключения способа слушания в конкретной ситуации, а не знанием названий режимов.</w:t>
      </w:r>
    </w:p>
    <w:p>
      <w:pPr>
        <w:pStyle w:val="Heading1"/>
        <w:keepNext/>
        <w:widowControl/>
        <w:spacing w:before="200" w:after="0"/>
      </w:pPr>
      <w:r>
        <w:t>5. Верхнеуровневые границы K1</w:t>
      </w:r>
    </w:p>
    <w:p>
      <w:pPr>
        <w:pStyle w:val="Heading2"/>
        <w:keepNext/>
        <w:widowControl/>
        <w:spacing w:before="100" w:after="0"/>
      </w:pPr>
      <w:r>
        <w:t>5.1. K1 и K2 — Командная работа</w:t>
      </w:r>
    </w:p>
    <w:p>
      <w:pPr>
        <w:widowControl/>
        <w:spacing w:after="60"/>
      </w:pPr>
      <w:r>
        <w:t>K1 относится к созданию, передаче, восстановлению и согласованию смысла между участниками взаимодействия. K2 относится к организации совместной деятельности взаимозависимых участников: общему результату, функциям и ролям, координации действий, использованию вкладов, поддержке и конфликтам как проблемам совместной работы. Один эпизод может создавать Evidence для обеих компетенций, но основания оценки различаются.</w:t>
      </w:r>
    </w:p>
    <w:p>
      <w:pPr>
        <w:pStyle w:val="Heading2"/>
        <w:keepNext/>
        <w:widowControl/>
        <w:spacing w:before="100" w:after="0"/>
      </w:pPr>
      <w:r>
        <w:t>5.2. K1 и K3 — Креативность</w:t>
      </w:r>
    </w:p>
    <w:p>
      <w:pPr>
        <w:widowControl/>
        <w:spacing w:after="60"/>
      </w:pPr>
      <w:r>
        <w:t>K1 отвечает за качество коммуникативного взаимодействия со смыслом. K3 отвечает за исследование пространства возможностей, создание и развитие нового содержания решения. Качественное изложение новой идеи само по себе не является свидетельством её креативности; новое решение не является автоматически свидетельством качественной коммуникации.</w:t>
      </w:r>
    </w:p>
    <w:p>
      <w:pPr>
        <w:pStyle w:val="Heading2"/>
        <w:keepNext/>
        <w:widowControl/>
        <w:spacing w:before="100" w:after="0"/>
      </w:pPr>
      <w:r>
        <w:t>5.3. K1 и K4 — Критическое мышление</w:t>
      </w:r>
    </w:p>
    <w:p>
      <w:pPr>
        <w:widowControl/>
        <w:spacing w:after="60"/>
      </w:pPr>
      <w:r>
        <w:t>K1 отвечает за создание, передачу, восстановление и согласование смысла. K4 отвечает за содержательную обоснованность анализа, рассуждения, вывода и решения. Качество аргумента как основания относится к K4; выбор способа его передачи, точность выражения, понимание и согласование смыслов — к K1.</w:t>
      </w:r>
    </w:p>
    <w:p>
      <w:pPr>
        <w:pStyle w:val="Heading1"/>
        <w:keepNext/>
        <w:widowControl/>
        <w:spacing w:before="200" w:after="0"/>
      </w:pPr>
      <w:r>
        <w:t>6. Разделение паспорта и матрицы</w:t>
      </w:r>
    </w:p>
    <w:p>
      <w:pPr>
        <w:widowControl/>
        <w:spacing w:after="60"/>
      </w:pPr>
      <w:r>
        <w:t>Для M2 применяется обновлённое правило структуры паспорта: паспорт содержит нормативное описание Competency, Skills и Components. Для каждого Component в архитектуре паспорта фиксируются ComponentID, название, определение и связь с соответствующими Indicators. Component остаётся промежуточным уровнем конструкта и не получает собственного L0–L3.</w:t>
      </w:r>
    </w:p>
    <w:p>
      <w:pPr>
        <w:widowControl/>
        <w:spacing w:after="60"/>
      </w:pPr>
      <w:r>
        <w:t>Матрица содержит операциональную нормативную детализацию Indicators. Одинаковое нормативное содержание не воспроизводится одновременно в паспорте и матрице. Определение Component ведётся в паспорте; его идентификатор и название используются в матрице для трассировки.</w:t>
      </w:r>
    </w:p>
    <w:p>
      <w:pPr>
        <w:widowControl/>
        <w:spacing w:after="60"/>
      </w:pPr>
      <w:r>
        <w:t>Поэтому в паспорт не включаются:</w:t>
      </w:r>
    </w:p>
    <w:p>
      <w:pPr>
        <w:pStyle w:val="ListBullet"/>
        <w:widowControl/>
        <w:spacing w:after="0"/>
      </w:pPr>
      <w:r>
        <w:t>функции и продукты отдельных Indicators;</w:t>
      </w:r>
    </w:p>
    <w:p>
      <w:pPr>
        <w:pStyle w:val="ListBullet"/>
        <w:widowControl/>
        <w:spacing w:after="0"/>
      </w:pPr>
      <w:r>
        <w:t>Indicator Level Descriptors L0–L3;</w:t>
      </w:r>
    </w:p>
    <w:p>
      <w:pPr>
        <w:pStyle w:val="ListBullet"/>
        <w:widowControl/>
        <w:spacing w:after="0"/>
      </w:pPr>
      <w:r>
        <w:t>детальные Boundaries между Indicators;</w:t>
      </w:r>
    </w:p>
    <w:p>
      <w:pPr>
        <w:pStyle w:val="ListBullet"/>
        <w:widowControl/>
        <w:spacing w:after="0"/>
      </w:pPr>
      <w:r>
        <w:t>Evidence Patterns Indicators;</w:t>
      </w:r>
    </w:p>
    <w:p>
      <w:pPr>
        <w:pStyle w:val="ListBullet"/>
        <w:widowControl/>
        <w:spacing w:after="0"/>
      </w:pPr>
      <w:r>
        <w:t>Red Flags Indicators;</w:t>
      </w:r>
    </w:p>
    <w:p>
      <w:pPr>
        <w:pStyle w:val="ListBullet"/>
        <w:widowControl/>
        <w:spacing w:after="0"/>
      </w:pPr>
      <w:r>
        <w:t>детальная история миграции отдельных Indicators.</w:t>
      </w:r>
    </w:p>
    <w:p>
      <w:pPr>
        <w:widowControl/>
        <w:spacing w:after="60"/>
      </w:pPr>
      <w:r>
        <w:t>Базовая структура паспорта M2 после данного уточнения: Competency → Skills → Components с нормативными определениями → компактная карта → верхнеуровневые границы → специфические методические примечания (при необходимости) → разделение паспорта и матрицы → связанный нормативный артефакт.</w:t>
      </w:r>
    </w:p>
    <w:p>
      <w:pPr>
        <w:pStyle w:val="Heading1"/>
        <w:keepNext/>
        <w:widowControl/>
        <w:spacing w:before="200" w:after="0"/>
      </w:pPr>
      <w:r>
        <w:t>7. Связанный нормативный артефакт</w:t>
      </w:r>
    </w:p>
    <w:p>
      <w:pPr>
        <w:widowControl/>
        <w:spacing w:after="60"/>
      </w:pPr>
      <w:r>
        <w:t>Матрица K1 v1.1 является нормативной операциональной детализацией конструкта на уровне Indicators и имеет статус FROZEN, CURRENT=YES.</w:t>
      </w:r>
    </w:p>
    <w:p>
      <w:pPr>
        <w:widowControl/>
        <w:spacing w:after="60"/>
      </w:pPr>
      <w:r>
        <w:t>Текущий состав матрицы K1 v1.1: Skill → Component → Indicator → Function → Product → L0–L3 → Boundary → Evidence Pattern → Red Flags.</w:t>
      </w:r>
    </w:p>
    <w:p>
      <w:pPr>
        <w:widowControl/>
        <w:spacing w:after="60"/>
      </w:pPr>
      <w:r>
        <w:t>Матрица K1 v1.1 содержит полную нормативную детализацию 17 Indicators с канонической адресацией K1.I01–K1.I17. Для каждого Indicator зафиксирован уровневонейтральный Evidence Pattern; Red Flags отсутствуют, поскольку в текущей редакции не выделены самостоятельные критически значимые негативные паттерны сверх низкого качества проявления.</w:t>
      </w:r>
    </w:p>
    <w:p>
      <w:pPr>
        <w:widowControl/>
        <w:spacing w:after="60"/>
      </w:pPr>
      <w:r>
        <w:t>QA матрицы завершён: отдельно проверены структура, L0–L3, Evidence Patterns, границы и Red Flags. Паспорт синхронизирован с зафиксированной структурой 4 Skills → 9 Components → 17 Indicators.</w:t>
      </w:r>
    </w:p>
    <w:p>
      <w:pPr>
        <w:widowControl/>
        <w:spacing w:after="60"/>
      </w:pPr>
      <w:r>
        <w:t>Документ зафиксирован как FROZEN, CURRENT=YES 08.09.2026 в соответствии с M0 — Governance Methodology 1.1.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F7F7F"/>
        <w:sz w:val="16"/>
      </w:rPr>
      <w:t>Methodology 4К 1.1 | M2.K1 | FROZEN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">
    <w:name w:val="Label"/>
    <w:rPr>
      <w:rFonts w:ascii="Aptos" w:hAnsi="Aptos"/>
      <w:b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M2.K1 — Паспорт компетенции «Коммуникация»</dc:title>
  <dc:subject>Methodology 4К 1.1</dc:subject>
  <dc:creator>python-docx</dc:creator>
  <cp:keywords>4К, K1, коммуникация, паспорт компетенции, FROZEN</cp:keywords>
  <dc:description>FROZEN v1.1, CURRENT=YES, 08.09.2026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