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Формулирование требований к программной системе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Научиться анализировать поставленную задачу, формулировать функциональные и нефункциональные требования к проектируемой системе.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Перечень заинтересованных лиц (стейкхолдеров) с краткими описаниями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Перечень функциональных требований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Диаграмма вариантов использования для функциональных требований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Перечень сделанных предположений (всё, что не оговорено в постановке явно можно “додумать” самостоятельно)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Повышенная сложность: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Перечень нефункциональных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Дополнительные материалы: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Литература по анализу нефункциональных требований (архитектурных свойств): главы 4 и 5 в книге “Фундаментальный подход к программной архитектуре” М.Ричардса и Нила Форда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