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«Документ.Логотип»«Документ.Шапка»</w:t>
      </w:r>
    </w:p>
    <w:tbl>
      <w:tblPr>
        <w:tblStyle w:val="Table1"/>
        <w:tblW w:w="960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69"/>
        <w:gridCol w:w="5735"/>
        <w:tblGridChange w:id="0">
          <w:tblGrid>
            <w:gridCol w:w="3869"/>
            <w:gridCol w:w="57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Исх. № «Документ.Номер» от «Документ.Дата»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«Предприятие.Счета.Неосновной.Банк»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«Предприятие.Счета.Неосновной.Адрес_банка»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введении процедуры наблюдения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«Процедура.Ссылка_на_решение_расш»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со ст. 63 Федерального закона «О несостоятельности (банкротстве)» от 26 октября 2002 года № 127-ФЗ (далее – Закон о банкротстве) уведомляю Вас о том, что с даты вынесения арбитражным судом определения о введении наблюдения наступают следующие последствия: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требования кредиторов по денежным обязательствам и об уплате обязательных платежей, за исключением текущих платежей, могут быть предъявлены к должнику только с соблюдением установленного Законом о банкротстве порядка предъявления требований к должнику;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 ходатайству кредитора приостанавливается производство по делам, связанным с взысканием с должника денежных средств. Кредитор в этом случае вправе предъявить свои требования к должнику в порядке, установленном Законом о банкротстве;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приостанавливается исполнение исполнительных документов по имущественным взысканиям, в том числе снимаются аресты на имущество должника и иные ограничения в части распоряжения имуществом должника, наложенные в ходе исполнительного производства, за исключением исполнительных документов, выданных на основании вступивших в законную силу до даты введения наблюдения судебных актов о взыскании задолженности по заработной плате, выплате вознаграждения авторам результатов интеллектуальной деятельности, об истребовании имущества из чужого незаконного владения, о возмещении вреда, причиненного жизни или здоровью, о выплате компенсации сверх возмещения вреда и о возмещении морального вреда. Основанием для приостановления исполнения исполнительных документов является определение арбитражного суда о введении наблюдения;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допускаются удовлетворение требований учредителя (участника) должника о выделе доли (пая) в имуществе должника в связи с выходом из состава его учредителей (участников), выкуп либо приобретение должником размещенных акций или выплата действительной стоимости доли (пая);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допускается прекращение денежных обязательств должника путем зачета встречного однородного требования, если при этом нарушается установленная п. 4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ст. 134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Закона о банкротстве очередность удовлетворения требований кредиторов. В отношении обязательств, возникающих из финансовых договоров, размер которых определяется в порядке, предусмотренном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ст. 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Закона о банкротстве, указанный запрет применяется только в части прекращения нетто-обязательств должника;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допускается выплата дивидендов, доходов по долям (паям), а также распределение прибыли между учредителями (участниками) должника;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не начисляются неустойки (штрафы, пени) и иные финансовые санкции за неисполнение или ненадлежащее исполнение денежных обязательств и обязательных платежей, за исключением текущих платежей.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п. 2 ст. 64 Закона о банкротстве органы управления должника могут совершать исключительно с согласия временного управляющего, выраженного в письменной форме, за исключением случаев, прямо предусмотренных Законом о банкротстве, сделки или несколько взаимосвязанных между собой сделок: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связанных с приобретением, отчуждением или возможностью отчуждения прямо либо косвенно имущества должника, балансовая стоимость которого составляет более пяти процентов балансовой стоимости активов должника на дату введения наблюдения;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связанных с получением и выдачей займов (кредитов), выдачей поручительств и гарантий, уступкой прав требования, переводом долга, а также с учреждением доверительного управления имуществом должника.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со ст. 67 Закона о банкротстве временный управляющий обязан принимать меры по обеспечению сохранности имущества должника, проводить анализ финансового состояния должника, выявлять кредиторов должника.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целях реализации указанных обязанностей, с учетом положений ст. 66 Закона о банкротстве, дающих право временному управляющему получать любую информацию и документы, касающиеся деятельности должника, прошу предоставить следующие документы и информацию в отношении должника: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 состоянии расчетного счета № «Предприятие.Счета.Неосновной.Номер», с указанием остатка денежных средств на счете;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об иных счетах, в том числе брокерских, с указанием остатка денежных средств на счетах, банковских картах, акциях, облигациях, структурных продуктах и вкладах (депозитах) должника, а также о договорах аренды банковской ячейки (сейфа);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выписки по банковским счетам должника за период начиная с «Процедура.Три_года_до_принятия_заявления» по настоящее время;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содержание картотеки по счетам;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об имеющихся решениях (постановлениях, арестах) о приостановлении операции по счетам и/или иных обременениях в отношении расчетных счетов должника;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копии неоплаченных платежных документов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(платежные поручения, платежные требования на безакцептное списание денежных средств, инкассовые поручения на бесспорное списание денежных средств);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сведения о выданных кредитах с информацией об исполнении обязательств, вытекающих из кредитного договора, а также сведения об имуществе, переданном в залог для обеспечения кредита.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Напоминаю, что в соответствии со ст. 20.3 Закона о банкротстве физические лица, юридические лица, государственные органы, органы управления государственными внебюджетными фондами Российской Федерации и органы местного самоуправления представляют запрошенные арбитражным управляющим сведения в течение семи дней со дня получения запроса без взимания платы.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целях недопущения преимущественного удовлетворения требований кредиторов (в том числе налоговых органов) убедительно прошу не производить списание денежных средств со счета должника без согласования с временным управляющим.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Информацию и документы прошу направить по адресу: «Управляющий.Раб_Адрес». Контактный телефон: «Управляющий.Телефон».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Копия определения «Процедура.АС.Наименование.Род» от «Процедура.Дата_решения» по делу № «Процедура.Номер_дела».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pct"/>
        <w:tblLayout w:type="fixed"/>
        <w:tblLook w:val="0000"/>
      </w:tblPr>
      <w:tblGrid>
        <w:gridCol w:w="4791"/>
        <w:gridCol w:w="56"/>
        <w:gridCol w:w="4791"/>
        <w:tblGridChange w:id="0">
          <w:tblGrid>
            <w:gridCol w:w="4791"/>
            <w:gridCol w:w="56"/>
            <w:gridCol w:w="479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 уважением,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«Процедура.Должность_АУ»</w:t>
              <w:br w:type="textWrapping"/>
              <w:t xml:space="preserve">«Предприятие.Наименование»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6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«Управляющий.ИО_Фамилия»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851" w:top="600" w:left="1418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cs="Times New Roman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0"/>
      <w:tabs>
        <w:tab w:val="center" w:leader="none" w:pos="4677"/>
        <w:tab w:val="right" w:leader="none" w:pos="9355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indent">
    <w:name w:val="indent"/>
    <w:basedOn w:val="Обычный"/>
    <w:next w:val="indent"/>
    <w:autoRedefine w:val="0"/>
    <w:hidden w:val="0"/>
    <w:qFormat w:val="0"/>
    <w:pPr>
      <w:widowControl w:val="1"/>
      <w:suppressAutoHyphens w:val="1"/>
      <w:autoSpaceDE w:val="1"/>
      <w:autoSpaceDN w:val="1"/>
      <w:adjustRightInd w:val="1"/>
      <w:spacing w:after="240" w:before="240" w:line="1" w:lineRule="atLeast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6ysKVMcJLZfSwD/BA/g1GDeEbQ==">AMUW2mWGDuuiyB//QUq8KxeMn0YMY72mIv2sw6j4m8th7gx6UQT4laFPmvR49UL+iztdKllfgqBuUBFnosUPVN03j+ZWFI8yy8Y9OC4w0Z0QlbEYRcOFWDU=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2009-02-03T07:21:00Z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