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«Документ.Логотип»«Документ.Шапка»</w:t>
      </w:r>
    </w:p>
    <w:tbl>
      <w:tblPr>
        <w:tblStyle w:val="Table1"/>
        <w:tblW w:w="960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69"/>
        <w:gridCol w:w="5735"/>
        <w:tblGridChange w:id="0">
          <w:tblGrid>
            <w:gridCol w:w="3869"/>
            <w:gridCol w:w="573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t>Исх. № «А73-19237/2019» от «2019-10-01»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«Предприятие.Счета.Неосновной.Банк»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«Предприятие.Счета.Неосновной.Адрес_банка»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Уведомление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 введении процедуры наблюдения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«Процедура.Ссылка_на_решение_расш»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соответствии со ст. 63 Федерального закона «О несостоятельности (банкротстве)» от 26 октября 2002 года № 127-ФЗ (далее – Закон о банкротстве) уведомляю Вас о том, что с даты вынесения арбитражным судом определения о введении наблюдения наступают следующие последствия: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требования кредиторов по денежным обязательствам и об уплате обязательных платежей, за исключением текущих платежей, могут быть предъявлены к должнику только с соблюдением установленного Законом о банкротстве порядка предъявления требований к должнику;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 ходатайству кредитора приостанавливается производство по делам, связанным с взысканием с должника денежных средств. Кредитор в этом случае вправе предъявить свои требования к должнику в порядке, установленном Законом о банкротстве;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приостанавливается исполнение исполнительных документов по имущественным взысканиям, в том числе снимаются аресты на имущество должника и иные ограничения в части распоряжения имуществом должника, наложенные в ходе исполнительного производства, за исключением исполнительных документов, выданных на основании вступивших в законную силу до даты введения наблюдения судебных актов о взыскании задолженности по заработной плате, выплате вознаграждения авторам результатов интеллектуальной деятельности, об истребовании имущества из чужого незаконного владения, о возмещении вреда, причиненного жизни или здоровью, о выплате компенсации сверх возмещения вреда и о возмещении морального вреда. Основанием для приостановления исполнения исполнительных документов является определение арбитражного суда о введении наблюдения;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не допускаются удовлетворение требований учредителя (участника) должника о выделе доли (пая) в имуществе должника в связи с выходом из состава его учредителей (участников), выкуп либо приобретение должником размещенных акций или выплата действительной стоимости доли (пая);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не допускается прекращение денежных обязательств должника путем зачета встречного однородного требования, если при этом нарушается установленная п. 4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ст. 134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Закона о банкротстве очередность удовлетворения требований кредиторов. В отношении обязательств, возникающих из финансовых договоров, размер которых определяется в порядке, предусмотренном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ст. 4.1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Закона о банкротстве, указанный запрет применяется только в части прекращения нетто-обязательств должника;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не допускается выплата дивидендов, доходов по долям (паям), а также распределение прибыли между учредителями (участниками) должника;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не начисляются неустойки (штрафы, пени) и иные финансовые санкции за неисполнение или ненадлежащее исполнение денежных обязательств и обязательных платежей, за исключением текущих платежей.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соответствии с п. 2 ст. 64 Закона о банкротстве органы управления должника могут совершать исключительно с согласия временного управляющего, выраженного в письменной форме, за исключением случаев, прямо предусмотренных Законом о банкротстве, сделки или несколько взаимосвязанных между собой сделок: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связанных с приобретением, отчуждением или возможностью отчуждения прямо либо косвенно имущества должника, балансовая стоимость которого составляет более пяти процентов балансовой стоимости активов должника на дату введения наблюдения;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связанных с получением и выдачей займов (кредитов), выдачей поручительств и гарантий, уступкой прав требования, переводом долга, а также с учреждением доверительного управления имуществом должника.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соответствии со ст. 67 Закона о банкротстве временный управляющий обязан принимать меры по обеспечению сохранности имущества должника, проводить анализ финансового состояния должника, выявлять кредиторов должника.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целях реализации указанных обязанностей, с учетом положений ст. 66 Закона о банкротстве, дающих право временному управляющему получать любую информацию и документы, касающиеся деятельности должника, прошу предоставить следующие документы и информацию в отношении должника: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сведения о состоянии расчетного счета № «Предприятие.Счета.Неосновной.Номер», с указанием остатка денежных средств на счете;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сведения об иных счетах, в том числе брокерских, с указанием остатка денежных средств на счетах, банковских картах, акциях, облигациях, структурных продуктах и вкладах (депозитах) должника, а также о договорах аренды банковской ячейки (сейфа);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выписки по банковским счетам должника за период начиная с «Процедура.Три_года_до_принятия_заявления» по настоящее время;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содержание картотеки по счетам;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сведения об имеющихся решениях (постановлениях, арестах) о приостановлении операции по счетам и/или иных обременениях в отношении расчетных счетов должника;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копии неоплаченных платежных документов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(платежные поручения, платежные требования на безакцептное списание денежных средств, инкассовые поручения на бесспорное списание денежных средств);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сведения о выданных кредитах с информацией об исполнении обязательств, вытекающих из кредитного договора, а также сведения об имуществе, переданном в залог для обеспечения кредита.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Напоминаю, что в соответствии со ст. 20.3 Закона о банкротстве физические лица, юридические лица, государственные органы, органы управления государственными внебюджетными фондами Российской Федерации и органы местного самоуправления представляют запрошенные арбитражным управляющим сведения в течение семи дней со дня получения запроса без взимания платы.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целях недопущения преимущественного удовлетворения требований кредиторов (в том числе налоговых органов) убедительно прошу не производить списание денежных средств со счета должника без согласования с временным управляющим.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Информацию и документы прошу направить по адресу: «Управляющий.Раб_Адрес». Контактный телефон: «Управляющий.Телефон».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Приложение: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Копия определения «Процедура.АС.Наименование.Род» от «Процедура.Дата_решения» по делу № «Процедура.Номер_дела».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0.0" w:type="pct"/>
        <w:tblLayout w:type="fixed"/>
        <w:tblLook w:val="0000"/>
      </w:tblPr>
      <w:tblGrid>
        <w:gridCol w:w="4791"/>
        <w:gridCol w:w="56"/>
        <w:gridCol w:w="4791"/>
        <w:tblGridChange w:id="0">
          <w:tblGrid>
            <w:gridCol w:w="4791"/>
            <w:gridCol w:w="56"/>
            <w:gridCol w:w="479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 уважением,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t>«Процедура.Должность_АУ»</w:t>
              <w:br/>
              <w:t>«арбитражный управляющий Соколов Денис Викторович»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60"/>
              </w:tabs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«Управляющий.ИО_Фамилия»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851" w:top="600" w:left="1418" w:right="85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widowControl w:val="1"/>
      <w:suppressAutoHyphens w:val="1"/>
      <w:autoSpaceDE w:val="1"/>
      <w:autoSpaceDN w:val="1"/>
      <w:adjustRightInd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Arial Unicode MS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Названиеобъекта">
    <w:name w:val="Название объекта"/>
    <w:basedOn w:val="Обычный"/>
    <w:next w:val="Названиеобъекта"/>
    <w:autoRedefine w:val="0"/>
    <w:hidden w:val="0"/>
    <w:qFormat w:val="0"/>
    <w:pPr>
      <w:widowControl w:val="1"/>
      <w:suppressAutoHyphens w:val="1"/>
      <w:autoSpaceDE w:val="1"/>
      <w:autoSpaceDN w:val="1"/>
      <w:adjustRightInd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i w:val="1"/>
      <w:iCs w:val="1"/>
      <w:w w:val="100"/>
      <w:position w:val="-1"/>
      <w:sz w:val="32"/>
      <w:szCs w:val="32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сотступом2">
    <w:name w:val="Основной текст с отступом 2"/>
    <w:basedOn w:val="Обычный"/>
    <w:next w:val="Основнойтекстсотступом2"/>
    <w:autoRedefine w:val="0"/>
    <w:hidden w:val="0"/>
    <w:qFormat w:val="0"/>
    <w:pPr>
      <w:widowControl w:val="1"/>
      <w:suppressAutoHyphens w:val="1"/>
      <w:autoSpaceDE w:val="1"/>
      <w:autoSpaceDN w:val="1"/>
      <w:adjustRightInd w:val="1"/>
      <w:spacing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rFonts w:ascii="Arial" w:cs="Times New Roman" w:hAnsi="Arial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widowControl w:val="0"/>
      <w:tabs>
        <w:tab w:val="center" w:leader="none" w:pos="4677"/>
        <w:tab w:val="right" w:leader="none" w:pos="9355"/>
      </w:tabs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widowControl w:val="0"/>
      <w:tabs>
        <w:tab w:val="center" w:leader="none" w:pos="4677"/>
        <w:tab w:val="right" w:leader="none" w:pos="9355"/>
      </w:tabs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character" w:styleId="Номерстраницы">
    <w:name w:val="Номер страницы"/>
    <w:basedOn w:val="Основнойшрифтабзаца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0"/>
    <w:pPr>
      <w:widowControl w:val="1"/>
      <w:suppressAutoHyphens w:val="1"/>
      <w:autoSpaceDE w:val="1"/>
      <w:autoSpaceDN w:val="1"/>
      <w:adjustRightInd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indent">
    <w:name w:val="indent"/>
    <w:basedOn w:val="Обычный"/>
    <w:next w:val="indent"/>
    <w:autoRedefine w:val="0"/>
    <w:hidden w:val="0"/>
    <w:qFormat w:val="0"/>
    <w:pPr>
      <w:widowControl w:val="1"/>
      <w:suppressAutoHyphens w:val="1"/>
      <w:autoSpaceDE w:val="1"/>
      <w:autoSpaceDN w:val="1"/>
      <w:adjustRightInd w:val="1"/>
      <w:spacing w:after="240" w:before="240" w:line="1" w:lineRule="atLeast"/>
      <w:ind w:leftChars="-1" w:rightChars="0" w:firstLine="708" w:firstLineChars="-1"/>
      <w:jc w:val="both"/>
      <w:textDirection w:val="btLr"/>
      <w:textAlignment w:val="top"/>
      <w:outlineLvl w:val="0"/>
    </w:pPr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6ysKVMcJLZfSwD/BA/g1GDeEbQ==">AMUW2mWGDuuiyB//QUq8KxeMn0YMY72mIv2sw6j4m8th7gx6UQT4laFPmvR49UL+iztdKllfgqBuUBFnosUPVN03j+ZWFI8yy8Y9OC4w0Z0QlbEYRcOFWDU=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2009-02-03T07:21:00Z</dcterms:created>
  <dc:creato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