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Среда разработки выбран - Visual Studio. Язык программирования - C# используется в Visual Studio для разработки графического приложения, который включает в себя удобные инструменты разработки, благодаря которым можно удобно разрабатывать графические приложения для Windows.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Алгоритм работы программы: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22463" cy="41624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463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Объявление функции и её вызов: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8477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305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Использовать условный оператор if: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1455331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45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Использовать конструкцию switch-case: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1928987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92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Проверка программы на ввод некорректных данных: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вводе числового значения данные не выводятся.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2975069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97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Дробные числа ограничены двумя знаками после запятой: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6191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Предлагать пользователю сохранение результата в файл: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005013" cy="138636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386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 Сохранение результата в файл: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0097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11. Отображение картинок в программе, в соответствии с текущей погодой в указанном городе: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8953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 Произвести тестирование методом «чёрного ящика»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Тест 1: Ввод корректного города и запрос погоды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Действие: Ввести корректное название города в поле ввода и нажать кнопку "Узнать погоду".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Ожидаемый результат: Отображение информации о погоде для указанного города.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Фактический результат: Появление температуры, влажности, давления, осадков и рекомендаций в соответствии с погодными условиями.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Тест 2: Ввод некорректного города и запрос погоды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Действие: Ввести некорректное название города (например, цифры) в поле ввода и нажать кнопку "Узнать погоду".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Ожидаемый результат: Отсутствии данных для указанного города.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Фактический результат: Отсутствие данных.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Тест 3: Попытка запроса погоды без ввода города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Действие: Нажать кнопку "Узнать погоду" без ввода города.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Ожидаемый результат: Отображение сообщения о необходимости ввода города.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Фактический результат: Появление сообщения о необходимости ввода города.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14. Произвести рефакторинг кода и убедиться, что в коде наименование функций и переменных будет читаемо для других разработчиков.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После: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15. Вывод информации об осадках: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352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16. Интерфейс программы на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русском языке: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3950784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95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17. Защита от случайного закрытия программы: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7716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18. Поле для ввода наименования населенного пункта: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504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19. Температура в градусах цельсия: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352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20. Атмосферное давление в миллиметрах ртутного столба: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3333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image" Target="media/image9.png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