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Pr="001872AD" w:rsidRDefault="00C9275D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 xml:space="preserve">): Автоматизированное развертывание приложения на </w:t>
      </w:r>
      <w:r w:rsidRPr="00BE4914">
        <w:rPr>
          <w:lang w:val="ru-RU"/>
        </w:rPr>
        <w:lastRenderedPageBreak/>
        <w:t>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DA223D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</w:t>
      </w:r>
      <w:r w:rsidR="00BE10DE" w:rsidRPr="00BE10DE">
        <w:lastRenderedPageBreak/>
        <w:t xml:space="preserve">программному интерфейсу приложения. </w:t>
      </w:r>
      <w:bookmarkStart w:id="0" w:name="_GoBack"/>
      <w:r w:rsidR="00BE10DE" w:rsidRPr="00BE10DE">
        <w:rPr>
          <w:b/>
        </w:rPr>
        <w:t>API</w:t>
      </w:r>
      <w:r w:rsidR="00BE10DE" w:rsidRPr="00BE10DE">
        <w:t xml:space="preserve"> </w:t>
      </w:r>
      <w:bookmarkEnd w:id="0"/>
      <w:r w:rsidR="00BE10DE" w:rsidRPr="00BE10DE">
        <w:t xml:space="preserve">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C638D3" w:rsidRPr="00BC2895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lastRenderedPageBreak/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75D" w:rsidRDefault="00C9275D" w:rsidP="001C5D47">
      <w:pPr>
        <w:spacing w:after="0" w:line="240" w:lineRule="auto"/>
      </w:pPr>
      <w:r>
        <w:separator/>
      </w:r>
    </w:p>
  </w:endnote>
  <w:endnote w:type="continuationSeparator" w:id="0">
    <w:p w:rsidR="00C9275D" w:rsidRDefault="00C9275D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0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75D" w:rsidRDefault="00C9275D" w:rsidP="001C5D47">
      <w:pPr>
        <w:spacing w:after="0" w:line="240" w:lineRule="auto"/>
      </w:pPr>
      <w:r>
        <w:separator/>
      </w:r>
    </w:p>
  </w:footnote>
  <w:footnote w:type="continuationSeparator" w:id="0">
    <w:p w:rsidR="00C9275D" w:rsidRDefault="00C9275D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300DF6"/>
    <w:rsid w:val="00331BAB"/>
    <w:rsid w:val="00335FB7"/>
    <w:rsid w:val="0038061B"/>
    <w:rsid w:val="00387351"/>
    <w:rsid w:val="00387F3C"/>
    <w:rsid w:val="00414499"/>
    <w:rsid w:val="00451FDC"/>
    <w:rsid w:val="004B3BA4"/>
    <w:rsid w:val="004D6374"/>
    <w:rsid w:val="00506366"/>
    <w:rsid w:val="00514FEE"/>
    <w:rsid w:val="005D6DBA"/>
    <w:rsid w:val="00615939"/>
    <w:rsid w:val="0065215C"/>
    <w:rsid w:val="006E6720"/>
    <w:rsid w:val="006F22D6"/>
    <w:rsid w:val="00707733"/>
    <w:rsid w:val="007526F4"/>
    <w:rsid w:val="0077406E"/>
    <w:rsid w:val="007B5EA9"/>
    <w:rsid w:val="00832FCE"/>
    <w:rsid w:val="008412D3"/>
    <w:rsid w:val="008D7883"/>
    <w:rsid w:val="00910A8E"/>
    <w:rsid w:val="00950D22"/>
    <w:rsid w:val="00954057"/>
    <w:rsid w:val="00976575"/>
    <w:rsid w:val="009A24AA"/>
    <w:rsid w:val="009A621B"/>
    <w:rsid w:val="009E6579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C9275D"/>
    <w:rsid w:val="00D20E93"/>
    <w:rsid w:val="00D22CCD"/>
    <w:rsid w:val="00D54C56"/>
    <w:rsid w:val="00DA223D"/>
    <w:rsid w:val="00DD445E"/>
    <w:rsid w:val="00E3640A"/>
    <w:rsid w:val="00E93A2F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62</cp:revision>
  <dcterms:created xsi:type="dcterms:W3CDTF">2024-01-30T17:23:00Z</dcterms:created>
  <dcterms:modified xsi:type="dcterms:W3CDTF">2024-02-24T09:39:00Z</dcterms:modified>
</cp:coreProperties>
</file>