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ТЕРМИНЫ И СОКРАЩЕНИЯ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Сокращения: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АРМ</w:t>
        <w:tab/>
        <w:t xml:space="preserve">Автоматизированное рабочее место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БД</w:t>
        <w:tab/>
        <w:t xml:space="preserve">База данных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</w:t>
        <w:tab/>
        <w:t xml:space="preserve">Листок временной нетрудоспособности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ДЛО</w:t>
        <w:tab/>
        <w:t xml:space="preserve">Дополнительное лекарственное обеспечение льготных категорий граждан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ВУТ</w:t>
        <w:tab/>
        <w:t xml:space="preserve">Временная утрата трудоспособности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ВМП</w:t>
        <w:tab/>
        <w:t xml:space="preserve">Высокотехнологичная медицинская помощь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ИБП</w:t>
        <w:tab/>
        <w:t xml:space="preserve">Источник бесперебойного питания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ИО</w:t>
        <w:tab/>
        <w:t xml:space="preserve">Информационное обеспечение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 </w:t>
        <w:tab/>
        <w:t xml:space="preserve">Информационная Система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ВК</w:t>
        <w:tab/>
        <w:t xml:space="preserve">Врачебная комиссия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МСЭК</w:t>
        <w:tab/>
        <w:t xml:space="preserve">Медико-социальная экспертная комиссия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ЛВС ЛПУ</w:t>
        <w:tab/>
        <w:t xml:space="preserve">Локальная вычислительная сеть ЛПУ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ЛПУ</w:t>
        <w:tab/>
        <w:t xml:space="preserve">Лечебно-профилактическое учреждение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МИС</w:t>
        <w:tab/>
        <w:t xml:space="preserve">Медицинская информационная система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НСИ</w:t>
        <w:tab/>
        <w:t xml:space="preserve">Нормативно-справочная информация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МКБ</w:t>
        <w:tab/>
        <w:t xml:space="preserve">Международный классификатор болезней МКБ 10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ОМС</w:t>
        <w:tab/>
        <w:t xml:space="preserve">Обязательное медицинское страхование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120" w:before="120" w:line="240" w:lineRule="auto"/>
        <w:ind w:left="1418" w:right="0" w:hanging="1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ОПО </w:t>
        <w:tab/>
        <w:t xml:space="preserve">Общее программное обеспечение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120" w:before="120" w:line="240" w:lineRule="auto"/>
        <w:ind w:left="1418" w:right="0" w:hanging="141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</w:t>
        <w:tab/>
        <w:t xml:space="preserve">Программное обеспечение, не являющееся компонентом МИС и выполняющее функции программного окружения.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СПО</w:t>
        <w:tab/>
        <w:t xml:space="preserve">Специальное программное обеспечение</w:t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СУБД</w:t>
        <w:tab/>
        <w:t xml:space="preserve">Система управления базами данных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ТЗ</w:t>
        <w:tab/>
        <w:t xml:space="preserve">Техническое задание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</w:t>
        <w:tab/>
        <w:t xml:space="preserve">Техническое обеспечение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ЛС</w:t>
        <w:tab/>
        <w:t xml:space="preserve">Лекарственные средства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ТМЦ</w:t>
        <w:tab/>
        <w:t xml:space="preserve">Товарно-материальные ценности (Лекарства, Расходные материалы)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ЧТЗ</w:t>
        <w:tab/>
        <w:t xml:space="preserve">Частное техническое задание (Приложение к настоящему ТЗ)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ЭМК</w:t>
        <w:tab/>
        <w:t xml:space="preserve">Электронная медицинская карта пациента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1134" w:top="1134" w:left="1701" w:right="85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ЭПМЗ</w:t>
        <w:tab/>
        <w:t xml:space="preserve">Электронная персональная медицинская запись </w:t>
      </w:r>
    </w:p>
    <w:p w:rsidR="00000000" w:rsidDel="00000000" w:rsidP="00000000" w:rsidRDefault="00000000" w:rsidRPr="00000000" w14:paraId="00000021">
      <w:pPr>
        <w:pStyle w:val="Heading1"/>
        <w:ind w:right="5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8"/>
        </w:tabs>
        <w:spacing w:after="120" w:before="120" w:line="240" w:lineRule="auto"/>
        <w:ind w:left="0" w:right="5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645" w:right="0" w:hanging="645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Общие сведения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Полное наименование системы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МЕДИЦИНСКАЯ ИНФОРМАЦИОННАЯ СИСТЕМА  «МУЗ Городской клинической больницы г. Большие Кабаны».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Условное обозначение системы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МИС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ГКБ Большие Кабаны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40" w:lineRule="auto"/>
        <w:ind w:left="0" w:right="-14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Ниже в данном документе под Системой понимается Медицинская информационная система, предназначенная для автоматизации деятельности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«МУЗ Городской клинической больницы г. Большие Кабаны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», в типовой конфигурации. Типовая конфигурация МИС - набор функциональных модулей и опций модулей Системы, доступных для данного установленного экземпляра Системы, и ее версия. Настоящее Техническое задание содержит описание набора функциональных возможностей поставляемой Типовой конфигурации Системы.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40" w:lineRule="auto"/>
        <w:ind w:left="0" w:right="-14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Расширение функциональных возможностей Системы относительно Типовой конфигурации осуществляются на основе дополнительно разработанного ЧТЗ с последующими дополнительными настройками с использованием предусмотренных в Системе инструментов разработки или программными доработками.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Предприятие Заказчик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МУЗ Городской клинической больницы г. Большие Кабаны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40" w:lineRule="auto"/>
        <w:ind w:left="0" w:right="-14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Настоящее Техническое задание содержит описание базового набора функциональных возможностей поставляемой Системы.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40" w:lineRule="auto"/>
        <w:ind w:left="0" w:right="-14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Расширение функциональных возможностей Системы относительно Типовой конфигурации осуществляются на основе дополнительно разработанного ЧТЗ с последующими дополнительными настройками с использованием предусмотренных в Системе инструментов разработки или программными доработками.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40" w:lineRule="auto"/>
        <w:ind w:left="0" w:right="-14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645" w:right="0" w:hanging="645"/>
        <w:jc w:val="left"/>
        <w:rPr/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Назначение и цели создания Системы</w:t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1"/>
        </w:numPr>
        <w:ind w:left="720" w:hanging="72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Назначение Системы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предназначена для автоматизации медицинской, учетной, управленческой и финансово-экономической деятельности ЛПУ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с учетом интеграции эксплуатируемых в ЛПУ информационных систем (При наличии таковых).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1"/>
        </w:numPr>
        <w:ind w:left="720" w:hanging="72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Цели создания Системы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Основной целью создания Системы является повышение управляемости и эффективности деятельности ЛПУ путем: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поддержки лечебно-диагностического процесса;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управления потоком пациентов;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автоматизации деятельности вспомогательных лечебно-диагностических отделений;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автоматизации административной деятельности;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автоматизации медицинского статистического учета;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автоматизации работы аптеки;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автоматизации работы лаборатории (бактериологический, цитологический и гистологический отделы);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автоматизации экономического учета лечебной деятельности;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автоматизации учета материалов;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интеграции с существующими информационными системами.</w:t>
      </w:r>
    </w:p>
    <w:bookmarkStart w:colFirst="0" w:colLast="0" w:name="bookmark=id.1t3h5sf" w:id="6"/>
    <w:bookmarkEnd w:id="6"/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645" w:right="0" w:hanging="645"/>
        <w:jc w:val="left"/>
        <w:rPr/>
      </w:pPr>
      <w:bookmarkStart w:colFirst="0" w:colLast="0" w:name="_heading=h.3dy6vkm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Характеристики объекта автоматизации</w:t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1"/>
        </w:numPr>
        <w:ind w:left="720" w:hanging="72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Краткие сведения об объекте автоматизации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Объектами автоматизации в рамках данного проекта являются подразделения ЛПУ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МУЗ ГКБ г. Большие Кабаны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» амбулаторного и стационарного типов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Детальное описание объектов автоматизации приведено в спецификации объектов автоматизации, согласно Приложению № 1.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645" w:right="0" w:hanging="645"/>
        <w:jc w:val="left"/>
        <w:rPr/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Требования к Системе</w:t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1"/>
        </w:numPr>
        <w:ind w:left="720" w:hanging="72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Требование к системе в целом</w:t>
      </w:r>
    </w:p>
    <w:p w:rsidR="00000000" w:rsidDel="00000000" w:rsidP="00000000" w:rsidRDefault="00000000" w:rsidRPr="00000000" w14:paraId="00000042">
      <w:pPr>
        <w:pStyle w:val="Heading3"/>
        <w:numPr>
          <w:ilvl w:val="2"/>
          <w:numId w:val="1"/>
        </w:numPr>
        <w:ind w:left="1146" w:hanging="72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Требования к структуре и функционированию Системы</w:t>
      </w:r>
    </w:p>
    <w:p w:rsidR="00000000" w:rsidDel="00000000" w:rsidP="00000000" w:rsidRDefault="00000000" w:rsidRPr="00000000" w14:paraId="00000043">
      <w:pPr>
        <w:pStyle w:val="Heading4"/>
        <w:numPr>
          <w:ilvl w:val="3"/>
          <w:numId w:val="1"/>
        </w:numPr>
        <w:ind w:left="1714" w:hanging="862"/>
        <w:rPr/>
      </w:pPr>
      <w:r w:rsidDel="00000000" w:rsidR="00000000" w:rsidRPr="00000000">
        <w:rPr>
          <w:rtl w:val="0"/>
        </w:rPr>
        <w:t xml:space="preserve">Перечень подсистем, их назначение и основные характеристики, требования к числу уровней иерархии и степени централизации системы</w:t>
      </w:r>
    </w:p>
    <w:tbl>
      <w:tblPr>
        <w:tblStyle w:val="Table1"/>
        <w:tblW w:w="9781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111"/>
        <w:gridCol w:w="2547"/>
        <w:gridCol w:w="6123"/>
        <w:tblGridChange w:id="0">
          <w:tblGrid>
            <w:gridCol w:w="1111"/>
            <w:gridCol w:w="2547"/>
            <w:gridCol w:w="6123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4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7" w:right="5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26in1rg" w:id="12"/>
            <w:bookmarkEnd w:id="1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4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7" w:right="5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Подсистема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4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7" w:right="5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Назначение и основные характеристики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7" w:right="5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Уровень предметно-ориентированных подсистем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7" w:right="5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Управление потоком пациентов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7" w:right="5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Подсистема обеспечивает информационную поддержку управления потоками амбулаторных и стационарных пациентов.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7" w:right="5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Поддержка лечебно-диагностического процесса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7" w:right="5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Подсистема обеспечивает поддержку работ, непосредственно связанных с осуществлением  лечебно-диагностической деятельности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7" w:right="5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Администрирование, планирование и статистика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7" w:right="5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Подсистема предназначена для поддержки административной деятельности медицинского учреждения, планирования ресурсов, автоматизации подготовки статистических и прочих отчетов в рамках данных, содержащихся в базе данных.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7" w:right="5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Лаборатория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7" w:right="5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Подсистема предназначена для поддержки деятельности специалистов отделения лабораторной диагностики. Подсистема обеспечивает «сквозное» прохождение направления на анализы – от приема направления до представления результатов с возможностью поддержки обмена данными с лабораторным оборудованием.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7" w:right="5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Лучевая диагностика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7" w:right="5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Подсистема предназначена для поддержки деятельности специалистов диагностического отделения медицинского учреждения в.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7" w:right="5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Стоматология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7" w:right="5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Подсистема обеспечивает информационную поддержку работы специалистов стоматологического кабинета.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7" w:right="5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Поддержка стандартов лечения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7" w:right="5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Подсистема предназначена для информационной поддержки процесса принятия решений медицинским персоналом при проведении лечебно-диагностических мероприятий.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7" w:right="5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Аптека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7" w:right="5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Подсистема предназначена для информационной поддержки деятельности аптеки по ведению учета медикаментов и расходных материалов в медицинском учреждении.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7" w:right="5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7" w:right="5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Расчеты по оплате диагностики/лечения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7" w:right="5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Подсистема позволяет автоматически учитывать все услуги, оказанные пациенту в процессе диагностики/лечения и калькулировать прочие затраты медицинского учреждения на пациента.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7" w:right="5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Уровень сервисно - прикладных подсистем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-303" w:right="5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7" w:right="5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Управление правами доступа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7" w:right="5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Данная система позволяет использовать внутренние механизмы разграничения прав доступа СУБД (права доступа по данным), а также собственные механизмы прав доступа в соответствии с набором технологических операций пользователя (права доступа по функциям).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-303" w:right="5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7" w:right="5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Ведение справочников, классификаторов и настроечных параметров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7" w:right="5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Ведение различных внешних и внутренних классификаторов МИС, а также ведение различных настроечных параметров, необходимых для адаптации МИС.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7" w:right="5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7" w:right="5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Обеспечение сопряжения с другими ИС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7" w:right="5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Организация обмена данными с другими ИС.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5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7" w:right="5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lnxbz9" w:id="13"/>
            <w:bookmarkEnd w:id="13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Управление движением медицинских карт на бумажных носителях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7" w:right="5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35nkun2" w:id="14"/>
            <w:bookmarkEnd w:id="14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Подсистема позволяет определить местоположения карты (внутри и вне  архива).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7" w:right="5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5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7" w:right="5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Подсистема интеграции с медицинским оборудованием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57" w:right="5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Подсистема позволяет обеспечить обмен данными между медицинской информационной системой и диагностическим оборудованием.</w:t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эффективного взаимодействия между собой все подсистемы МИС должны функционировать в едином информационном пространстве и иметь единую базу данных.</w:t>
      </w:r>
    </w:p>
    <w:p w:rsidR="00000000" w:rsidDel="00000000" w:rsidP="00000000" w:rsidRDefault="00000000" w:rsidRPr="00000000" w14:paraId="00000079">
      <w:pPr>
        <w:pStyle w:val="Heading4"/>
        <w:numPr>
          <w:ilvl w:val="3"/>
          <w:numId w:val="1"/>
        </w:numPr>
        <w:tabs>
          <w:tab w:val="left" w:leader="none" w:pos="1276"/>
        </w:tabs>
        <w:ind w:left="1134" w:hanging="862"/>
        <w:rPr/>
      </w:pPr>
      <w:r w:rsidDel="00000000" w:rsidR="00000000" w:rsidRPr="00000000">
        <w:rPr>
          <w:rtl w:val="0"/>
        </w:rPr>
        <w:t xml:space="preserve">Требования к характеристикам взаимосвязей создаваемой Системы со смежными системами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должна обеспечивать возможность информационного обмена со смежными системами.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-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Передача данных из смежных систем в Систему должна производиться на основе структуры обмена по регламенту.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numPr>
          <w:ilvl w:val="3"/>
          <w:numId w:val="1"/>
        </w:numPr>
        <w:ind w:left="1134" w:hanging="862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Допустимые пределы модернизации и развития Системы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 ввода Системы в промышленную эксплуатацию модернизация и развитие Системы, связанные с расширением функциональных возможностей или существенным изменением действующего законодательства, должны выполняться, в зависимости от сложности, либо по отдельному договору с привлечением разработчика компонента Системы, либо самостоятельно предварительно подготовленной специализированной службой Заказчика.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Перенастройка Системы, связанная с изменением количества и состава информации, должна осуществляться службой сопровождения Заказчика.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5" w:hanging="645"/>
      </w:pPr>
      <w:rPr/>
    </w:lvl>
    <w:lvl w:ilvl="1">
      <w:start w:val="1"/>
      <w:numFmt w:val="decimal"/>
      <w:lvlText w:val="%1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1146" w:hanging="720"/>
      </w:pPr>
      <w:rPr/>
    </w:lvl>
    <w:lvl w:ilvl="3">
      <w:start w:val="1"/>
      <w:numFmt w:val="decimal"/>
      <w:lvlText w:val="%1.%2.%3.%4."/>
      <w:lvlJc w:val="left"/>
      <w:pPr>
        <w:ind w:left="2640" w:hanging="1080"/>
      </w:pPr>
      <w:rPr/>
    </w:lvl>
    <w:lvl w:ilvl="4">
      <w:start w:val="1"/>
      <w:numFmt w:val="decimal"/>
      <w:lvlText w:val="%1.%2.%3.%4.%5."/>
      <w:lvlJc w:val="left"/>
      <w:pPr>
        <w:ind w:left="1440" w:hanging="144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ind w:left="2160" w:hanging="2160"/>
      </w:pPr>
      <w:rPr/>
    </w:lvl>
    <w:lvl w:ilvl="8">
      <w:start w:val="1"/>
      <w:numFmt w:val="decimal"/>
      <w:lvlText w:val="%1.%2.%3.%4.%5.%6.%7.%8.%9."/>
      <w:lvlJc w:val="left"/>
      <w:pPr>
        <w:ind w:left="2160" w:hanging="21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77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b w:val="1"/>
        <w:color w:val="262626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240" w:before="480" w:lineRule="auto"/>
      <w:ind w:left="720" w:hanging="720"/>
      <w:jc w:val="both"/>
    </w:pPr>
    <w:rPr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240" w:before="240" w:lineRule="auto"/>
      <w:ind w:left="1146" w:hanging="720"/>
      <w:jc w:val="both"/>
    </w:pPr>
    <w:rPr>
      <w:smallCaps w:val="1"/>
      <w:color w:val="000000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1714" w:hanging="862"/>
      <w:jc w:val="both"/>
    </w:pPr>
    <w:rPr>
      <w:b w:val="0"/>
      <w:smallCaps w:val="1"/>
      <w:color w:val="00000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9" w:hanging="1009"/>
    </w:pPr>
    <w:rPr>
      <w:b w:val="0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1151" w:hanging="1151"/>
    </w:pPr>
    <w:rPr>
      <w:b w:val="0"/>
      <w:i w:val="1"/>
      <w:color w:val="000000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9"/>
    <w:qFormat w:val="1"/>
    <w:rsid w:val="00B3186A"/>
    <w:pPr>
      <w:keepNext w:val="1"/>
      <w:spacing w:after="60" w:before="240"/>
      <w:outlineLvl w:val="0"/>
    </w:pPr>
    <w:rPr>
      <w:rFonts w:ascii="Arial" w:cs="Arial" w:eastAsia="Times New Roman" w:hAnsi="Arial"/>
      <w:bCs w:val="1"/>
      <w:color w:val="auto"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 w:val="1"/>
    <w:uiPriority w:val="99"/>
    <w:qFormat w:val="1"/>
    <w:rsid w:val="00B3186A"/>
    <w:pPr>
      <w:keepNext w:val="1"/>
      <w:numPr>
        <w:ilvl w:val="1"/>
        <w:numId w:val="4"/>
      </w:numPr>
      <w:spacing w:after="240" w:before="480"/>
      <w:jc w:val="both"/>
      <w:outlineLvl w:val="1"/>
    </w:pPr>
    <w:rPr>
      <w:rFonts w:eastAsia="Times New Roman"/>
      <w:color w:val="auto"/>
      <w:spacing w:val="-2"/>
      <w:kern w:val="0"/>
      <w:sz w:val="28"/>
      <w:szCs w:val="32"/>
      <w:lang w:eastAsia="x-none" w:val="x-none"/>
    </w:rPr>
  </w:style>
  <w:style w:type="paragraph" w:styleId="3">
    <w:name w:val="heading 3"/>
    <w:basedOn w:val="a"/>
    <w:next w:val="a0"/>
    <w:link w:val="30"/>
    <w:autoRedefine w:val="1"/>
    <w:uiPriority w:val="99"/>
    <w:qFormat w:val="1"/>
    <w:rsid w:val="00B3186A"/>
    <w:pPr>
      <w:keepNext w:val="1"/>
      <w:numPr>
        <w:ilvl w:val="2"/>
        <w:numId w:val="4"/>
      </w:numPr>
      <w:spacing w:after="240" w:before="240"/>
      <w:jc w:val="both"/>
      <w:outlineLvl w:val="2"/>
    </w:pPr>
    <w:rPr>
      <w:rFonts w:eastAsia="Times New Roman"/>
      <w:bCs w:val="1"/>
      <w:smallCaps w:val="1"/>
      <w:color w:val="auto"/>
      <w:kern w:val="0"/>
      <w:szCs w:val="28"/>
      <w:lang w:eastAsia="x-none" w:val="x-none"/>
    </w:rPr>
  </w:style>
  <w:style w:type="paragraph" w:styleId="4">
    <w:name w:val="heading 4"/>
    <w:basedOn w:val="a"/>
    <w:next w:val="a0"/>
    <w:link w:val="40"/>
    <w:uiPriority w:val="99"/>
    <w:qFormat w:val="1"/>
    <w:rsid w:val="00B3186A"/>
    <w:pPr>
      <w:keepNext w:val="1"/>
      <w:numPr>
        <w:ilvl w:val="3"/>
        <w:numId w:val="2"/>
      </w:numPr>
      <w:spacing w:after="120" w:before="120"/>
      <w:jc w:val="both"/>
      <w:outlineLvl w:val="3"/>
    </w:pPr>
    <w:rPr>
      <w:rFonts w:eastAsia="Times New Roman"/>
      <w:b w:val="0"/>
      <w:smallCaps w:val="1"/>
      <w:color w:val="auto"/>
      <w:kern w:val="0"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9"/>
    <w:qFormat w:val="1"/>
    <w:rsid w:val="00B3186A"/>
    <w:pPr>
      <w:numPr>
        <w:ilvl w:val="4"/>
        <w:numId w:val="2"/>
      </w:numPr>
      <w:spacing w:after="60" w:before="240"/>
      <w:outlineLvl w:val="4"/>
    </w:pPr>
    <w:rPr>
      <w:rFonts w:eastAsia="Times New Roman"/>
      <w:b w:val="0"/>
      <w:color w:val="auto"/>
      <w:kern w:val="0"/>
      <w:sz w:val="22"/>
      <w:szCs w:val="22"/>
      <w:lang w:eastAsia="ru-RU"/>
    </w:rPr>
  </w:style>
  <w:style w:type="paragraph" w:styleId="6">
    <w:name w:val="heading 6"/>
    <w:basedOn w:val="a"/>
    <w:next w:val="a"/>
    <w:link w:val="60"/>
    <w:uiPriority w:val="99"/>
    <w:qFormat w:val="1"/>
    <w:rsid w:val="00B3186A"/>
    <w:pPr>
      <w:numPr>
        <w:ilvl w:val="5"/>
        <w:numId w:val="2"/>
      </w:numPr>
      <w:spacing w:after="60" w:before="240"/>
      <w:outlineLvl w:val="5"/>
    </w:pPr>
    <w:rPr>
      <w:rFonts w:eastAsia="Times New Roman"/>
      <w:b w:val="0"/>
      <w:i w:val="1"/>
      <w:iCs w:val="1"/>
      <w:color w:val="auto"/>
      <w:kern w:val="0"/>
      <w:sz w:val="22"/>
      <w:szCs w:val="22"/>
      <w:lang w:eastAsia="ru-RU"/>
    </w:rPr>
  </w:style>
  <w:style w:type="paragraph" w:styleId="7">
    <w:name w:val="heading 7"/>
    <w:basedOn w:val="a"/>
    <w:next w:val="a"/>
    <w:link w:val="70"/>
    <w:uiPriority w:val="99"/>
    <w:qFormat w:val="1"/>
    <w:rsid w:val="00B3186A"/>
    <w:pPr>
      <w:numPr>
        <w:ilvl w:val="6"/>
        <w:numId w:val="2"/>
      </w:numPr>
      <w:spacing w:after="60" w:before="240"/>
      <w:outlineLvl w:val="6"/>
    </w:pPr>
    <w:rPr>
      <w:rFonts w:ascii="Arial" w:cs="Arial" w:eastAsia="Times New Roman" w:hAnsi="Arial"/>
      <w:b w:val="0"/>
      <w:color w:val="auto"/>
      <w:kern w:val="0"/>
      <w:lang w:eastAsia="ru-RU"/>
    </w:rPr>
  </w:style>
  <w:style w:type="paragraph" w:styleId="8">
    <w:name w:val="heading 8"/>
    <w:basedOn w:val="a"/>
    <w:next w:val="a"/>
    <w:link w:val="80"/>
    <w:uiPriority w:val="99"/>
    <w:qFormat w:val="1"/>
    <w:rsid w:val="00B3186A"/>
    <w:pPr>
      <w:numPr>
        <w:ilvl w:val="7"/>
        <w:numId w:val="2"/>
      </w:numPr>
      <w:spacing w:after="60" w:before="240"/>
      <w:outlineLvl w:val="7"/>
    </w:pPr>
    <w:rPr>
      <w:rFonts w:ascii="Arial" w:cs="Arial" w:eastAsia="Times New Roman" w:hAnsi="Arial"/>
      <w:b w:val="0"/>
      <w:i w:val="1"/>
      <w:iCs w:val="1"/>
      <w:color w:val="auto"/>
      <w:kern w:val="0"/>
      <w:lang w:eastAsia="ru-RU"/>
    </w:rPr>
  </w:style>
  <w:style w:type="paragraph" w:styleId="9">
    <w:name w:val="heading 9"/>
    <w:basedOn w:val="a"/>
    <w:next w:val="a"/>
    <w:link w:val="90"/>
    <w:uiPriority w:val="99"/>
    <w:qFormat w:val="1"/>
    <w:rsid w:val="00B3186A"/>
    <w:pPr>
      <w:numPr>
        <w:ilvl w:val="8"/>
        <w:numId w:val="2"/>
      </w:numPr>
      <w:spacing w:after="60" w:before="240"/>
      <w:outlineLvl w:val="8"/>
    </w:pPr>
    <w:rPr>
      <w:rFonts w:ascii="Arial" w:cs="Arial" w:eastAsia="Times New Roman" w:hAnsi="Arial"/>
      <w:bCs w:val="1"/>
      <w:i w:val="1"/>
      <w:iCs w:val="1"/>
      <w:color w:val="auto"/>
      <w:kern w:val="0"/>
      <w:sz w:val="18"/>
      <w:szCs w:val="18"/>
      <w:lang w:eastAsia="ru-RU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1"/>
    <w:link w:val="1"/>
    <w:uiPriority w:val="99"/>
    <w:rsid w:val="00B3186A"/>
    <w:rPr>
      <w:rFonts w:ascii="Arial" w:cs="Arial" w:eastAsia="Times New Roman" w:hAnsi="Arial"/>
      <w:bCs w:val="1"/>
      <w:color w:val="auto"/>
      <w:kern w:val="32"/>
      <w:sz w:val="32"/>
      <w:szCs w:val="32"/>
      <w:lang w:eastAsia="ru-RU"/>
    </w:rPr>
  </w:style>
  <w:style w:type="character" w:styleId="20" w:customStyle="1">
    <w:name w:val="Заголовок 2 Знак"/>
    <w:basedOn w:val="a1"/>
    <w:link w:val="2"/>
    <w:uiPriority w:val="99"/>
    <w:rsid w:val="00B3186A"/>
    <w:rPr>
      <w:rFonts w:eastAsia="Times New Roman"/>
      <w:color w:val="auto"/>
      <w:spacing w:val="-2"/>
      <w:kern w:val="0"/>
      <w:sz w:val="28"/>
      <w:szCs w:val="32"/>
      <w:lang w:eastAsia="x-none" w:val="x-none"/>
    </w:rPr>
  </w:style>
  <w:style w:type="character" w:styleId="30" w:customStyle="1">
    <w:name w:val="Заголовок 3 Знак"/>
    <w:basedOn w:val="a1"/>
    <w:link w:val="3"/>
    <w:uiPriority w:val="99"/>
    <w:rsid w:val="00B3186A"/>
    <w:rPr>
      <w:rFonts w:eastAsia="Times New Roman"/>
      <w:bCs w:val="1"/>
      <w:smallCaps w:val="1"/>
      <w:color w:val="auto"/>
      <w:kern w:val="0"/>
      <w:szCs w:val="28"/>
      <w:lang w:eastAsia="x-none" w:val="x-none"/>
    </w:rPr>
  </w:style>
  <w:style w:type="character" w:styleId="40" w:customStyle="1">
    <w:name w:val="Заголовок 4 Знак"/>
    <w:basedOn w:val="a1"/>
    <w:link w:val="4"/>
    <w:uiPriority w:val="99"/>
    <w:rsid w:val="00B3186A"/>
    <w:rPr>
      <w:rFonts w:eastAsia="Times New Roman"/>
      <w:b w:val="0"/>
      <w:smallCaps w:val="1"/>
      <w:color w:val="auto"/>
      <w:kern w:val="0"/>
      <w:sz w:val="28"/>
      <w:szCs w:val="28"/>
      <w:lang w:eastAsia="ru-RU"/>
    </w:rPr>
  </w:style>
  <w:style w:type="character" w:styleId="50" w:customStyle="1">
    <w:name w:val="Заголовок 5 Знак"/>
    <w:basedOn w:val="a1"/>
    <w:link w:val="5"/>
    <w:uiPriority w:val="99"/>
    <w:rsid w:val="00B3186A"/>
    <w:rPr>
      <w:rFonts w:eastAsia="Times New Roman"/>
      <w:b w:val="0"/>
      <w:color w:val="auto"/>
      <w:kern w:val="0"/>
      <w:sz w:val="22"/>
      <w:szCs w:val="22"/>
      <w:lang w:eastAsia="ru-RU"/>
    </w:rPr>
  </w:style>
  <w:style w:type="character" w:styleId="60" w:customStyle="1">
    <w:name w:val="Заголовок 6 Знак"/>
    <w:basedOn w:val="a1"/>
    <w:link w:val="6"/>
    <w:uiPriority w:val="99"/>
    <w:rsid w:val="00B3186A"/>
    <w:rPr>
      <w:rFonts w:eastAsia="Times New Roman"/>
      <w:b w:val="0"/>
      <w:i w:val="1"/>
      <w:iCs w:val="1"/>
      <w:color w:val="auto"/>
      <w:kern w:val="0"/>
      <w:sz w:val="22"/>
      <w:szCs w:val="22"/>
      <w:lang w:eastAsia="ru-RU"/>
    </w:rPr>
  </w:style>
  <w:style w:type="character" w:styleId="70" w:customStyle="1">
    <w:name w:val="Заголовок 7 Знак"/>
    <w:basedOn w:val="a1"/>
    <w:link w:val="7"/>
    <w:uiPriority w:val="99"/>
    <w:rsid w:val="00B3186A"/>
    <w:rPr>
      <w:rFonts w:ascii="Arial" w:cs="Arial" w:eastAsia="Times New Roman" w:hAnsi="Arial"/>
      <w:b w:val="0"/>
      <w:color w:val="auto"/>
      <w:kern w:val="0"/>
      <w:lang w:eastAsia="ru-RU"/>
    </w:rPr>
  </w:style>
  <w:style w:type="character" w:styleId="80" w:customStyle="1">
    <w:name w:val="Заголовок 8 Знак"/>
    <w:basedOn w:val="a1"/>
    <w:link w:val="8"/>
    <w:uiPriority w:val="99"/>
    <w:rsid w:val="00B3186A"/>
    <w:rPr>
      <w:rFonts w:ascii="Arial" w:cs="Arial" w:eastAsia="Times New Roman" w:hAnsi="Arial"/>
      <w:b w:val="0"/>
      <w:i w:val="1"/>
      <w:iCs w:val="1"/>
      <w:color w:val="auto"/>
      <w:kern w:val="0"/>
      <w:lang w:eastAsia="ru-RU"/>
    </w:rPr>
  </w:style>
  <w:style w:type="character" w:styleId="90" w:customStyle="1">
    <w:name w:val="Заголовок 9 Знак"/>
    <w:basedOn w:val="a1"/>
    <w:link w:val="9"/>
    <w:uiPriority w:val="99"/>
    <w:rsid w:val="00B3186A"/>
    <w:rPr>
      <w:rFonts w:ascii="Arial" w:cs="Arial" w:eastAsia="Times New Roman" w:hAnsi="Arial"/>
      <w:bCs w:val="1"/>
      <w:i w:val="1"/>
      <w:iCs w:val="1"/>
      <w:color w:val="auto"/>
      <w:kern w:val="0"/>
      <w:sz w:val="18"/>
      <w:szCs w:val="18"/>
      <w:lang w:eastAsia="ru-RU"/>
    </w:rPr>
  </w:style>
  <w:style w:type="paragraph" w:styleId="a0">
    <w:name w:val="Body Text"/>
    <w:basedOn w:val="a"/>
    <w:link w:val="a4"/>
    <w:uiPriority w:val="99"/>
    <w:rsid w:val="00B3186A"/>
    <w:pPr>
      <w:spacing w:after="120"/>
      <w:jc w:val="both"/>
    </w:pPr>
    <w:rPr>
      <w:rFonts w:eastAsia="Times New Roman"/>
      <w:b w:val="0"/>
      <w:color w:val="auto"/>
      <w:kern w:val="0"/>
      <w:szCs w:val="20"/>
      <w:lang w:eastAsia="ru-RU"/>
    </w:rPr>
  </w:style>
  <w:style w:type="character" w:styleId="a4" w:customStyle="1">
    <w:name w:val="Основной текст Знак"/>
    <w:basedOn w:val="a1"/>
    <w:link w:val="a0"/>
    <w:uiPriority w:val="99"/>
    <w:rsid w:val="00B3186A"/>
    <w:rPr>
      <w:rFonts w:eastAsia="Times New Roman"/>
      <w:b w:val="0"/>
      <w:color w:val="auto"/>
      <w:kern w:val="0"/>
      <w:szCs w:val="20"/>
      <w:lang w:eastAsia="ru-RU"/>
    </w:rPr>
  </w:style>
  <w:style w:type="character" w:styleId="14" w:customStyle="1">
    <w:name w:val="Стиль Основной текст + 14 пт Знак"/>
    <w:link w:val="140"/>
    <w:uiPriority w:val="99"/>
    <w:locked w:val="1"/>
    <w:rsid w:val="00B3186A"/>
    <w:rPr>
      <w:spacing w:val="-2"/>
      <w:lang w:eastAsia="ru-RU"/>
    </w:rPr>
  </w:style>
  <w:style w:type="paragraph" w:styleId="14125" w:customStyle="1">
    <w:name w:val="Стиль Основной текст + 14 пт Синий Первая строка:  125 см"/>
    <w:basedOn w:val="a0"/>
    <w:uiPriority w:val="99"/>
    <w:rsid w:val="00B3186A"/>
    <w:pPr>
      <w:ind w:firstLine="709"/>
    </w:pPr>
    <w:rPr>
      <w:spacing w:val="-2"/>
      <w:sz w:val="28"/>
      <w:szCs w:val="28"/>
    </w:rPr>
  </w:style>
  <w:style w:type="paragraph" w:styleId="166" w:customStyle="1">
    <w:name w:val="Стиль Заголовок 1 + Перед:  6 пт После:  6 пт"/>
    <w:basedOn w:val="1"/>
    <w:uiPriority w:val="99"/>
    <w:rsid w:val="00B3186A"/>
    <w:pPr>
      <w:numPr>
        <w:numId w:val="4"/>
      </w:numPr>
      <w:spacing w:after="120" w:before="120"/>
    </w:pPr>
    <w:rPr>
      <w:rFonts w:cs="Times New Roman"/>
      <w:szCs w:val="20"/>
    </w:rPr>
  </w:style>
  <w:style w:type="paragraph" w:styleId="140" w:customStyle="1">
    <w:name w:val="Стиль Основной текст + 14 пт"/>
    <w:basedOn w:val="a0"/>
    <w:link w:val="14"/>
    <w:autoRedefine w:val="1"/>
    <w:uiPriority w:val="99"/>
    <w:rsid w:val="00B3186A"/>
    <w:rPr>
      <w:rFonts w:eastAsiaTheme="minorHAnsi"/>
      <w:b w:val="1"/>
      <w:color w:val="262626"/>
      <w:spacing w:val="-2"/>
      <w:kern w:val="2"/>
      <w:szCs w:val="24"/>
    </w:rPr>
  </w:style>
  <w:style w:type="paragraph" w:styleId="144" w:customStyle="1">
    <w:name w:val="Стиль Основной текст + 14 пт Перед:  4 пт"/>
    <w:basedOn w:val="a0"/>
    <w:autoRedefine w:val="1"/>
    <w:uiPriority w:val="99"/>
    <w:rsid w:val="00B3186A"/>
    <w:pPr>
      <w:spacing w:before="80"/>
    </w:pPr>
  </w:style>
  <w:style w:type="paragraph" w:styleId="a5" w:customStyle="1">
    <w:name w:val="Таблица ячейка по левому кр."/>
    <w:basedOn w:val="a"/>
    <w:uiPriority w:val="99"/>
    <w:rsid w:val="00B3186A"/>
    <w:pPr>
      <w:keepLines w:val="1"/>
      <w:suppressLineNumbers w:val="1"/>
      <w:suppressAutoHyphens w:val="1"/>
      <w:spacing w:after="40" w:before="40"/>
      <w:ind w:left="57" w:right="57"/>
    </w:pPr>
    <w:rPr>
      <w:rFonts w:eastAsia="Times New Roman"/>
      <w:b w:val="0"/>
      <w:color w:val="auto"/>
      <w:kern w:val="24"/>
    </w:rPr>
  </w:style>
  <w:style w:type="paragraph" w:styleId="a6" w:customStyle="1">
    <w:name w:val="Таблица заголовок графы"/>
    <w:basedOn w:val="a"/>
    <w:next w:val="a"/>
    <w:uiPriority w:val="99"/>
    <w:rsid w:val="00B3186A"/>
    <w:pPr>
      <w:keepNext w:val="1"/>
      <w:suppressLineNumbers w:val="1"/>
      <w:spacing w:after="40" w:before="40"/>
      <w:ind w:left="57" w:right="57"/>
      <w:jc w:val="center"/>
    </w:pPr>
    <w:rPr>
      <w:rFonts w:eastAsia="Times New Roman"/>
      <w:bCs w:val="1"/>
      <w:color w:val="auto"/>
      <w:kern w:val="24"/>
    </w:rPr>
  </w:style>
  <w:style w:type="paragraph" w:styleId="a7" w:customStyle="1">
    <w:name w:val="Таблица ячейка по центру"/>
    <w:basedOn w:val="a"/>
    <w:uiPriority w:val="99"/>
    <w:rsid w:val="00B3186A"/>
    <w:pPr>
      <w:keepLines w:val="1"/>
      <w:suppressLineNumbers w:val="1"/>
      <w:suppressAutoHyphens w:val="1"/>
      <w:spacing w:after="40" w:before="40"/>
      <w:ind w:left="57" w:right="57"/>
      <w:jc w:val="center"/>
    </w:pPr>
    <w:rPr>
      <w:rFonts w:eastAsia="Times New Roman"/>
      <w:b w:val="0"/>
      <w:color w:val="auto"/>
      <w:kern w:val="24"/>
    </w:rPr>
  </w:style>
  <w:style w:type="character" w:styleId="a8">
    <w:name w:val="annotation reference"/>
    <w:basedOn w:val="a1"/>
    <w:uiPriority w:val="99"/>
    <w:semiHidden w:val="1"/>
    <w:rsid w:val="00B3186A"/>
    <w:rPr>
      <w:rFonts w:cs="Times New Roman"/>
      <w:sz w:val="16"/>
    </w:rPr>
  </w:style>
  <w:style w:type="paragraph" w:styleId="a9">
    <w:name w:val="annotation text"/>
    <w:basedOn w:val="a"/>
    <w:link w:val="aa"/>
    <w:uiPriority w:val="99"/>
    <w:semiHidden w:val="1"/>
    <w:rsid w:val="00B3186A"/>
    <w:rPr>
      <w:rFonts w:eastAsia="Times New Roman"/>
      <w:b w:val="0"/>
      <w:color w:val="auto"/>
      <w:kern w:val="0"/>
      <w:sz w:val="20"/>
      <w:szCs w:val="20"/>
      <w:lang w:eastAsia="ru-RU"/>
    </w:rPr>
  </w:style>
  <w:style w:type="character" w:styleId="aa" w:customStyle="1">
    <w:name w:val="Текст примечания Знак"/>
    <w:basedOn w:val="a1"/>
    <w:link w:val="a9"/>
    <w:uiPriority w:val="99"/>
    <w:semiHidden w:val="1"/>
    <w:rsid w:val="00B3186A"/>
    <w:rPr>
      <w:rFonts w:eastAsia="Times New Roman"/>
      <w:b w:val="0"/>
      <w:color w:val="auto"/>
      <w:kern w:val="0"/>
      <w:sz w:val="20"/>
      <w:szCs w:val="20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s7iNmB5+k4/p4amJk1FKVXrsnQ==">CgMxLjAyCGguZ2pkZ3hzMgloLjMwajB6bGwyCWguMWZvYjl0ZTIJaC4zem55c2g3MgloLjJldDkycDAyCGgudHlqY3d0MgppZC4xdDNoNXNmMgloLjNkeTZ2a20yCWguNGQzNG9nODIJaC4yczhleW8xMgloLjE3ZHA4dnUyCWguM3JkY3JqbjIJaC4yNmluMXJnMghoLmxueGJ6OTIJaC4zNW5rdW4yMgloLjFrc3Y0dXY4AHIhMVpQT2NKRm1uSnQzTFNuMmNpbUczZER5Wk53dGhmVk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2023-09-17T08:21:00Z</dcterms:created>
  <dc:creator>Наталья Кривоносова</dc:creator>
</cp:coreProperties>
</file>