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Усилитель электрических колебаний</w:t>
      </w:r>
    </w:p>
    <w:p>
      <w:pPr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</w:rPr>
        <w:t>Усилитель электрических колебаний (сигналов) – это устройство, повышающее мощность, напряжение и ток электрических сигналов за счет энергии источников питания.</w:t>
      </w:r>
    </w:p>
    <w:p>
      <w:pPr>
        <w:ind w:firstLine="567"/>
        <w:jc w:val="both"/>
        <w:rPr>
          <w:i/>
          <w:sz w:val="32"/>
        </w:rPr>
      </w:pPr>
      <w:r>
        <w:rPr>
          <w:i/>
          <w:sz w:val="32"/>
        </w:rPr>
        <w:t>Оценивать полученный результат можно при помощи коэффициента передачи. Он рассчитывается как отношение выходного сигнала ко входному. Если мы рассматривает коэффициент передачи по напряжению, то и формула будет соответствующей:</w:t>
      </w:r>
    </w:p>
    <w:p>
      <w:pPr>
        <w:ind w:firstLine="567"/>
        <w:jc w:val="center"/>
        <w:rPr>
          <w:i/>
          <w:sz w:val="32"/>
        </w:rPr>
      </w:pPr>
      <w:r>
        <w:rPr>
          <w:i/>
          <w:sz w:val="32"/>
        </w:rPr>
        <w:drawing>
          <wp:inline distT="0" distB="0" distL="0" distR="0">
            <wp:extent cx="2428875" cy="1538605"/>
            <wp:effectExtent l="0" t="0" r="0" b="0"/>
            <wp:docPr id="3" name="Picture 2" descr="J:\Лабораторные работы\Материалы\Материалы к практикам\Рисунки к ОУ\Рисунки к практике по ОУ\Рис.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J:\Лабораторные работы\Материалы\Материалы к практикам\Рисунки к ОУ\Рисунки к практике по ОУ\Рис.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453" cy="1539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i/>
          <w:sz w:val="32"/>
        </w:rPr>
      </w:pPr>
      <w:r>
        <w:rPr>
          <w:i/>
          <w:sz w:val="32"/>
        </w:rPr>
        <w:t>Можно отметить, это справедливо не только для усилителей, но и для многих других устройств. Например, для фильтров.</w:t>
      </w:r>
    </w:p>
    <w:p>
      <w:pPr>
        <w:ind w:firstLine="567"/>
        <w:jc w:val="both"/>
        <w:rPr>
          <w:i/>
          <w:sz w:val="32"/>
        </w:rPr>
      </w:pPr>
      <w:r>
        <w:rPr>
          <w:i/>
          <w:sz w:val="32"/>
        </w:rPr>
        <w:t>Классификация усилителей довольно обширна, но мы рассмотрим классификацию только по виду АЧХ.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1. Апериодические усилители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 xml:space="preserve">Он усиливает электрические колебания в </w:t>
      </w:r>
      <w:r>
        <w:rPr>
          <w:i/>
          <w:sz w:val="32"/>
        </w:rPr>
        <w:t>довольно широком</w:t>
      </w:r>
      <w:r>
        <w:rPr>
          <w:sz w:val="32"/>
        </w:rPr>
        <w:t xml:space="preserve"> полосе частот от fн до fв.</w:t>
      </w:r>
    </w:p>
    <w:p>
      <w:pPr>
        <w:ind w:firstLine="567"/>
        <w:jc w:val="center"/>
        <w:rPr>
          <w:sz w:val="32"/>
        </w:rPr>
      </w:pPr>
      <w:r>
        <w:rPr>
          <w:sz w:val="32"/>
        </w:rPr>
        <w:drawing>
          <wp:inline distT="0" distB="0" distL="0" distR="0">
            <wp:extent cx="3333750" cy="1891030"/>
            <wp:effectExtent l="0" t="0" r="0" b="0"/>
            <wp:docPr id="6146" name="Picture 2" descr="J:\Лабораторные работы\Материалы\Материалы к практикам\Рисунки к ОУ\Рисунки к практике по ОУ\Рис.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J:\Лабораторные работы\Материалы\Материалы к практикам\Рисунки к ОУ\Рисунки к практике по ОУ\Рис.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969" cy="189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i/>
          <w:sz w:val="32"/>
        </w:rPr>
      </w:pPr>
      <w:r>
        <w:rPr>
          <w:i/>
          <w:sz w:val="32"/>
        </w:rPr>
        <w:t>На низких и высоких частотах у таких усилителей наблюдается уменьшение коэффициента усиления из-за влияния реактивных элементов.</w:t>
      </w:r>
    </w:p>
    <w:p>
      <w:pPr>
        <w:ind w:firstLine="567"/>
        <w:jc w:val="both"/>
        <w:rPr>
          <w:i/>
          <w:sz w:val="32"/>
        </w:rPr>
      </w:pPr>
    </w:p>
    <w:p>
      <w:pPr>
        <w:ind w:firstLine="567"/>
        <w:jc w:val="both"/>
        <w:rPr>
          <w:i/>
          <w:sz w:val="32"/>
        </w:rPr>
      </w:pPr>
    </w:p>
    <w:p>
      <w:pPr>
        <w:ind w:firstLine="567"/>
        <w:jc w:val="both"/>
        <w:rPr>
          <w:i/>
          <w:sz w:val="32"/>
        </w:rPr>
      </w:pPr>
    </w:p>
    <w:p>
      <w:pPr>
        <w:ind w:firstLine="567"/>
        <w:jc w:val="both"/>
        <w:rPr>
          <w:i/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  <w:lang w:eastAsia="ru-RU"/>
        </w:rPr>
        <w:pict>
          <v:shape id="Объект 6" o:spid="_x0000_s1029" o:spt="75" type="#_x0000_t75" style="position:absolute;left:0pt;margin-left:160.2pt;margin-top:11.8pt;height:29.25pt;width:87.7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  <o:OLEObject Type="Embed" ProgID="Equation.DSMT4" ShapeID="Объект 6" DrawAspect="Content" ObjectID="_1468075725" r:id="rId8">
            <o:LockedField>false</o:LockedField>
          </o:OLEObject>
        </w:pict>
      </w:r>
      <w:r>
        <w:rPr>
          <w:sz w:val="32"/>
          <w:lang w:eastAsia="ru-RU"/>
        </w:rPr>
        <w:pict>
          <v:shape id="Объект 4" o:spid="_x0000_s1027" o:spt="75" type="#_x0000_t75" style="position:absolute;left:0pt;margin-left:25.45pt;margin-top:3.85pt;height:41pt;width:92.25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Equation.DSMT4" ShapeID="Объект 4" DrawAspect="Content" ObjectID="_1468075726" r:id="rId10">
            <o:LockedField>false</o:LockedField>
          </o:OLEObject>
        </w:pic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  <w:lang w:eastAsia="ru-RU"/>
        </w:rPr>
        <w:pict>
          <v:shape id="Объект 8" o:spid="_x0000_s1030" o:spt="75" type="#_x0000_t75" style="position:absolute;left:0pt;margin-left:25.45pt;margin-top:8.05pt;height:29pt;width:270.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  <o:OLEObject Type="Embed" ProgID="Equation.DSMT4" ShapeID="Объект 8" DrawAspect="Content" ObjectID="_1468075727" r:id="rId12">
            <o:LockedField>false</o:LockedField>
          </o:OLEObject>
        </w:pic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  <w:lang w:eastAsia="ru-RU"/>
        </w:rPr>
        <w:pict>
          <v:shape id="Объект 2" o:spid="_x0000_s1031" o:spt="75" type="#_x0000_t75" style="position:absolute;left:0pt;margin-left:25.45pt;margin-top:4.7pt;height:82.35pt;width:222.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  <o:OLEObject Type="Embed" ProgID="Equation.DSMT4" ShapeID="Объект 2" DrawAspect="Content" ObjectID="_1468075728" r:id="rId14">
            <o:LockedField>false</o:LockedField>
          </o:OLEObject>
        </w:pic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b/>
          <w:bCs/>
          <w:sz w:val="32"/>
        </w:rPr>
        <w:t>Упрощенная схема апериодического усилителя</w: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</w:rPr>
        <w:drawing>
          <wp:inline distT="0" distB="0" distL="0" distR="0">
            <wp:extent cx="2895600" cy="894080"/>
            <wp:effectExtent l="0" t="0" r="0" b="0"/>
            <wp:docPr id="3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053" cy="89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i/>
          <w:sz w:val="32"/>
        </w:rPr>
      </w:pPr>
      <w:r>
        <w:rPr>
          <w:i/>
          <w:sz w:val="32"/>
          <w:lang w:val="en-US"/>
        </w:rPr>
        <w:t>R</w:t>
      </w:r>
      <w:r>
        <w:rPr>
          <w:i/>
          <w:sz w:val="32"/>
        </w:rPr>
        <w:t>н – это может быть, например, входное сопротивление динамической головки (динамика)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На НЧ спад АЧХ возникает из-за влияния разделительных емкостей Ср1 и Ср2. Они необходимы, чтобы исключить влияние постоянных токов. (которые возникают от источника питания – аккумуляторных батареек, выпрямителя тока сети)</w:t>
      </w:r>
    </w:p>
    <w:p>
      <w:pPr>
        <w:ind w:firstLine="567"/>
        <w:jc w:val="both"/>
        <w:rPr>
          <w:sz w:val="32"/>
        </w:rPr>
      </w:pPr>
      <w:r>
        <w:rPr>
          <w:bCs/>
          <w:sz w:val="32"/>
        </w:rPr>
        <w:t xml:space="preserve">Так как </w:t>
      </w:r>
      <w:r>
        <w:rPr>
          <w:bCs/>
          <w:sz w:val="32"/>
        </w:rPr>
        <w:tab/>
      </w:r>
      <w:r>
        <w:rPr>
          <w:bCs/>
          <w:position w:val="-20"/>
          <w:sz w:val="32"/>
        </w:rPr>
        <w:object>
          <v:shape id="_x0000_i1025" o:spt="75" type="#_x0000_t75" style="height:24pt;width:5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5" DrawAspect="Content" ObjectID="_1468075729" r:id="rId17">
            <o:LockedField>false</o:LockedField>
          </o:OLEObject>
        </w:object>
      </w:r>
      <w:r>
        <w:rPr>
          <w:bCs/>
          <w:sz w:val="32"/>
        </w:rPr>
        <w:tab/>
      </w:r>
      <w:r>
        <w:rPr>
          <w:bCs/>
          <w:sz w:val="32"/>
        </w:rPr>
        <w:t xml:space="preserve">и с уменьшением частоты сопротивление емкости (Хс) увеличивается, ток проходящий через емкость уменьшается и на входном сопротивлении уменьшается напряжение. 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Следовательно уменьшается и выходное напряжение.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А так как коэффициент усиления равен</w:t>
      </w:r>
    </w:p>
    <w:p>
      <w:pPr>
        <w:ind w:firstLine="567"/>
        <w:jc w:val="center"/>
        <w:rPr>
          <w:sz w:val="32"/>
        </w:rPr>
      </w:pPr>
      <w:r>
        <w:rPr>
          <w:position w:val="-22"/>
          <w:sz w:val="32"/>
        </w:rPr>
        <w:object>
          <v:shape id="_x0000_i1026" o:spt="75" type="#_x0000_t75" style="height:27.75pt;width:4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6" DrawAspect="Content" ObjectID="_1468075730" r:id="rId19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То при постоянном Uвх и уменьшении Uвых, он будет уменьшаться, что видно на АЧХ.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Спад АЧХ на верхних частотах объясняется влиянием межэлектродных емкостей усилительных элементов (Свх, Свых) и емкостью нагрузки Сн.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С ростом частоты сопротивление емкостей уменьшается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Следовательно Ср перестают влиять на АЧХ (ток через них не уменьшается), а вот емкости Свх, Свых и Сн располагаются параллельно входу (Свх) и выходу (Свых, Сн) усилительного элемента.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Поэтому при возрастании частоты ток через емкости возрастает, а полезный ток через активные сопротивления (Rвх, Rвых, Rн) уменьшается.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Следовательно уменьшается выходное напряжение Uвых.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И потому коэффициента усиления при Uвх = const уменьшается.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Эти спады АЧХ на НЧ и ВЧ называются частотными искажениями и их допустимая величина указывается при проектировании усилителя.</w: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</w:rPr>
        <w:t>2. Селективные (резонансные) усилители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Такие усилители применяются для усиления узкой полосы частот.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Выбор этой полосы частот определяется внешними цепями усилителя.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Например, это могут быть цепи специальной обратной связи, а также колебательные контура (LC) включенные в цепь нагрузки усилителя.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drawing>
          <wp:inline distT="0" distB="0" distL="0" distR="0">
            <wp:extent cx="2219325" cy="1202055"/>
            <wp:effectExtent l="0" t="0" r="0" b="0"/>
            <wp:docPr id="4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8897" cy="12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sz w:val="32"/>
        </w:rPr>
      </w:pPr>
      <w:r>
        <w:rPr>
          <w:sz w:val="32"/>
        </w:rPr>
        <w:t>АЧХ такого усилителя определяет колебательный контур.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Колебательный контур (параллельно включенный к выходу усилителя) имеет частотную характеристику вида: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drawing>
          <wp:inline distT="0" distB="0" distL="0" distR="0">
            <wp:extent cx="2162175" cy="1731645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694" cy="17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sz w:val="32"/>
        </w:rPr>
      </w:pPr>
      <w:r>
        <w:rPr>
          <w:sz w:val="32"/>
        </w:rPr>
        <w:t>Поэтому, если такой контур включен в цепь нагрузки усилителя, то он и определяет его АЧХ.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Вид АЧХ зависит от добротности (Q) колебательного контура.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Добротность – характеристика колебательной системы, определяющая полосу резонанса и показывающая, во сколько раз запасы энергии в системе больше, чем потери энергии за один период колебаний.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Добротность обратно пропорциональна скорости затухания собственных колебаний в системе. То есть, чем выше добротность колебательной системы, тем меньше потери энергии и тем медленнее затухают колебания.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Для последовательно колебательного контура в RLC цепях, в котором все три элемента включены последовательно:</w:t>
      </w:r>
    </w:p>
    <w:p>
      <w:pPr>
        <w:ind w:firstLine="567"/>
        <w:jc w:val="both"/>
        <w:rPr>
          <w:sz w:val="32"/>
        </w:rPr>
      </w:pPr>
      <w:r>
        <w:rPr>
          <w:position w:val="-26"/>
          <w:sz w:val="32"/>
        </w:rPr>
        <w:object>
          <v:shape id="_x0000_i1027" o:spt="75" type="#_x0000_t75" style="height:35.25pt;width:54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7" DrawAspect="Content" ObjectID="_1468075731" r:id="rId23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  <w:r>
        <w:rPr>
          <w:sz w:val="32"/>
        </w:rPr>
        <w:t xml:space="preserve">где </w:t>
      </w:r>
      <w:r>
        <w:rPr>
          <w:sz w:val="32"/>
          <w:lang w:val="en-US"/>
        </w:rPr>
        <w:t>R</w:t>
      </w:r>
      <w:r>
        <w:rPr>
          <w:sz w:val="32"/>
        </w:rPr>
        <w:t xml:space="preserve">, </w:t>
      </w:r>
      <w:r>
        <w:rPr>
          <w:sz w:val="32"/>
          <w:lang w:val="en-US"/>
        </w:rPr>
        <w:t>L</w:t>
      </w:r>
      <w:r>
        <w:rPr>
          <w:sz w:val="32"/>
        </w:rPr>
        <w:t xml:space="preserve">, </w:t>
      </w:r>
      <w:r>
        <w:rPr>
          <w:sz w:val="32"/>
          <w:lang w:val="en-US"/>
        </w:rPr>
        <w:t>C</w:t>
      </w:r>
      <w:r>
        <w:rPr>
          <w:sz w:val="32"/>
        </w:rPr>
        <w:t xml:space="preserve"> – сопротивление, индуктивность и емкость резонансной цепи, соответственно.</w:t>
      </w:r>
    </w:p>
    <w:p>
      <w:pPr>
        <w:ind w:firstLine="567"/>
        <w:jc w:val="both"/>
        <w:rPr>
          <w:sz w:val="32"/>
        </w:rPr>
      </w:pPr>
      <w:r>
        <w:rPr>
          <w:sz w:val="32"/>
        </w:rPr>
        <w:t>Для параллельного контура, в котором индуктивность, емкость и сопротивление включены параллельно:</w:t>
      </w:r>
    </w:p>
    <w:p>
      <w:pPr>
        <w:ind w:firstLine="567"/>
        <w:jc w:val="both"/>
        <w:rPr>
          <w:sz w:val="32"/>
        </w:rPr>
      </w:pPr>
      <w:r>
        <w:rPr>
          <w:position w:val="-26"/>
          <w:sz w:val="32"/>
        </w:rPr>
        <w:object>
          <v:shape id="_x0000_i1028" o:spt="75" type="#_x0000_t75" style="height:35.25pt;width:51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8" DrawAspect="Content" ObjectID="_1468075732" r:id="rId25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</w:rPr>
        <w:t xml:space="preserve">Добротность селективного усилителя, определяемую как отношение резонансной частоты к полосе пропускания, вычисляемой по уровню уменьшения коэффициента передачи в </w:t>
      </w:r>
      <w:r>
        <w:rPr>
          <w:position w:val="-6"/>
          <w:sz w:val="32"/>
        </w:rPr>
        <w:object>
          <v:shape id="_x0000_i1029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29" DrawAspect="Content" ObjectID="_1468075733" r:id="rId27">
            <o:LockedField>false</o:LockedField>
          </o:OLEObject>
        </w:object>
      </w:r>
      <w:r>
        <w:rPr>
          <w:sz w:val="32"/>
        </w:rPr>
        <w:t>раз:</w:t>
      </w:r>
    </w:p>
    <w:p>
      <w:pPr>
        <w:ind w:firstLine="567"/>
        <w:jc w:val="both"/>
        <w:rPr>
          <w:sz w:val="32"/>
        </w:rPr>
      </w:pPr>
      <w:r>
        <w:rPr>
          <w:position w:val="-24"/>
          <w:sz w:val="32"/>
        </w:rPr>
        <w:object>
          <v:shape id="_x0000_i1030" o:spt="75" type="#_x0000_t75" style="height:33pt;width:42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0" DrawAspect="Content" ObjectID="_1468075734" r:id="rId29">
            <o:LockedField>false</o:LockedField>
          </o:OLEObject>
        </w:object>
      </w:r>
      <w:r>
        <w:rPr>
          <w:sz w:val="32"/>
        </w:rPr>
        <w:t xml:space="preserve"> Q тем выше, чем меньше </w:t>
      </w:r>
      <w:r>
        <w:rPr>
          <w:position w:val="-6"/>
          <w:sz w:val="32"/>
        </w:rPr>
        <w:object>
          <v:shape id="_x0000_i1031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1" DrawAspect="Content" ObjectID="_1468075735" r:id="rId31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  <w:r>
        <w:object>
          <v:shape id="_x0000_i1032" o:spt="75" type="#_x0000_t75" style="height:205.5pt;width:236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Visio.Drawing.11" ShapeID="_x0000_i1032" DrawAspect="Content" ObjectID="_1468075736" r:id="rId33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b/>
          <w:sz w:val="32"/>
        </w:rPr>
        <w:t>Постоянная времени</w:t>
      </w:r>
      <w:r>
        <w:rPr>
          <w:sz w:val="32"/>
        </w:rPr>
        <w:t xml:space="preserve"> — характеристика экспоненциального процесса, определяющая время, через которое характеристика тока упадёт в «е» раз.</w:t>
      </w:r>
    </w:p>
    <w:p>
      <w:pPr>
        <w:ind w:firstLine="567"/>
        <w:jc w:val="both"/>
        <w:rPr>
          <w:sz w:val="32"/>
        </w:rPr>
      </w:pPr>
      <w:r>
        <w:rPr>
          <w:position w:val="-6"/>
          <w:sz w:val="32"/>
        </w:rPr>
        <w:object>
          <v:shape id="_x0000_i1033" o:spt="75" type="#_x0000_t75" style="height:24pt;width:74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3" DrawAspect="Content" ObjectID="_1468075737" r:id="rId35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  <w:r>
        <w:rPr>
          <w:sz w:val="32"/>
        </w:rPr>
        <w:t xml:space="preserve">Для параллельного соединения </w:t>
      </w:r>
    </w:p>
    <w:p>
      <w:pPr>
        <w:ind w:firstLine="567"/>
        <w:jc w:val="both"/>
        <w:rPr>
          <w:sz w:val="32"/>
        </w:rPr>
      </w:pPr>
      <w:r>
        <w:rPr>
          <w:position w:val="-16"/>
          <w:sz w:val="32"/>
        </w:rPr>
        <w:object>
          <v:shape id="_x0000_i1034" o:spt="75" type="#_x0000_t75" style="height:34.5pt;width:250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4" DrawAspect="Content" ObjectID="_1468075738" r:id="rId37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  <w:r>
        <w:rPr>
          <w:position w:val="-34"/>
          <w:sz w:val="32"/>
        </w:rPr>
        <w:object>
          <v:shape id="_x0000_i1035" o:spt="75" type="#_x0000_t75" style="height:62.25pt;width:264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5" DrawAspect="Content" ObjectID="_1468075739" r:id="rId39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r>
        <w:rPr>
          <w:sz w:val="32"/>
        </w:rPr>
        <w:t>Для последовательного соединения</w:t>
      </w:r>
    </w:p>
    <w:p>
      <w:pPr>
        <w:ind w:firstLine="567"/>
        <w:jc w:val="both"/>
        <w:rPr>
          <w:sz w:val="32"/>
        </w:rPr>
      </w:pPr>
      <w:r>
        <w:rPr>
          <w:position w:val="-34"/>
          <w:sz w:val="32"/>
        </w:rPr>
        <w:object>
          <v:shape id="_x0000_i1036" o:spt="75" type="#_x0000_t75" style="height:62.25pt;width:26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6" DrawAspect="Content" ObjectID="_1468075740" r:id="rId41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  <w:r>
        <w:rPr>
          <w:position w:val="-16"/>
          <w:sz w:val="32"/>
        </w:rPr>
        <w:object>
          <v:shape id="_x0000_i1037" o:spt="75" type="#_x0000_t75" style="height:34.5pt;width:246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37" DrawAspect="Content" ObjectID="_1468075741" r:id="rId43">
            <o:LockedField>false</o:LockedField>
          </o:OLEObject>
        </w:object>
      </w: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  <w:bookmarkStart w:id="0" w:name="_GoBack"/>
      <w:bookmarkEnd w:id="0"/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ind w:firstLine="567"/>
        <w:jc w:val="both"/>
        <w:rPr>
          <w:sz w:val="32"/>
        </w:rPr>
      </w:pPr>
    </w:p>
    <w:p>
      <w:pPr>
        <w:jc w:val="both"/>
        <w:rPr>
          <w:sz w:val="3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D19E1"/>
    <w:rsid w:val="000B2FDB"/>
    <w:rsid w:val="001F5FD2"/>
    <w:rsid w:val="002453B0"/>
    <w:rsid w:val="00411503"/>
    <w:rsid w:val="007C714A"/>
    <w:rsid w:val="00AD19E1"/>
    <w:rsid w:val="00BE526B"/>
    <w:rsid w:val="00E557C4"/>
    <w:rsid w:val="00EF6B3D"/>
    <w:rsid w:val="180B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2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" Type="http://schemas.openxmlformats.org/officeDocument/2006/relationships/endnotes" Target="endnotes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7.emf"/><Relationship Id="rId33" Type="http://schemas.openxmlformats.org/officeDocument/2006/relationships/oleObject" Target="embeddings/oleObject12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" Type="http://schemas.openxmlformats.org/officeDocument/2006/relationships/footnotes" Target="footnotes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4.wmf"/><Relationship Id="rId27" Type="http://schemas.openxmlformats.org/officeDocument/2006/relationships/oleObject" Target="embeddings/oleObject9.bin"/><Relationship Id="rId26" Type="http://schemas.openxmlformats.org/officeDocument/2006/relationships/image" Target="media/image13.wmf"/><Relationship Id="rId25" Type="http://schemas.openxmlformats.org/officeDocument/2006/relationships/oleObject" Target="embeddings/oleObject8.bin"/><Relationship Id="rId24" Type="http://schemas.openxmlformats.org/officeDocument/2006/relationships/image" Target="media/image12.wmf"/><Relationship Id="rId23" Type="http://schemas.openxmlformats.org/officeDocument/2006/relationships/oleObject" Target="embeddings/oleObject7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Krokoz™</Company>
  <Pages>6</Pages>
  <Words>659</Words>
  <Characters>3760</Characters>
  <Lines>31</Lines>
  <Paragraphs>8</Paragraphs>
  <TotalTime>52</TotalTime>
  <ScaleCrop>false</ScaleCrop>
  <LinksUpToDate>false</LinksUpToDate>
  <CharactersWithSpaces>4411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2017-12-01T16:20:00Z</dcterms:created>
  <dc:creator>Лера</dc:creator>
  <cp:lastModifiedBy>WPS_1693998189</cp:lastModifiedBy>
  <dcterms:modified xsi:type="dcterms:W3CDTF">2023-11-29T14:16:51Z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3EFAFC807A564AB796CDE162460B7A25_12</vt:lpwstr>
  </property>
</Properties>
</file>