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Style25"/>
      </w:pPr>
      <w:r>
        <w:t>1. sdvsdvddddddddddddddddd dddddddddddddddddddddddddddddd ddddddddddddddddddddd dddddddddddddddddddddd - 1 шт.</w:t>
      </w:r>
    </w:p>
    <w:p>
      <w:pPr>
        <w:pStyle w:val="Style25"/>
      </w:pPr>
      <w:r>
        <w:t>2. However the goal is that this whole process of generating a new document and filling it with data is supposed to be fully automatic, therefore creating a word document by hand, using bullet points and then deleting the content again, is not an option. - 2 шт.</w:t>
      </w:r>
    </w:p>
    <w:p>
      <w:pPr>
        <w:pStyle w:val="Style25"/>
      </w:pPr>
      <w:r>
        <w:t>3. However the goal is that this whole process of generating a new document and filling it with data is supposed to be fully automatic, therefore creating a word document by hand, using bullet points and then deleting the content again, is not an option. - 2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