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4"/>
        <w:gridCol w:w="483"/>
        <w:gridCol w:w="4895"/>
      </w:tblGrid>
      <w:tr>
        <w:trPr>
          <w:trHeight w:val="737" w:hRule="atLeast"/>
        </w:trPr>
        <w:tc>
          <w:tcPr>
            <w:tcW w:w="4894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4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3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21"/>
        <w:ind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линии поперечной и продольной резки QLA – PROFI (CIDAN) прошу Вас приобрести:</w:t>
      </w:r>
    </w:p>
    <w:p>
      <w:pPr>
        <w:pStyle w:val="UserStyle"/>
      </w:pPr>
      <w:r>
        <w:t>trfhy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1517092275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2023-12-19T07:04:44Z</dcterms:modified>
  <cp:revision>14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