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fthjft - 1 шт.</w:t>
      </w:r>
    </w:p>
    <w:p>
      <w:pPr>
        <w:pStyle w:val="ListNumber"/>
      </w:pPr>
      <w:r>
        <w:rPr>
          <w:rFonts w:ascii="Times New Roman" w:hAnsi="Times New Roman"/>
          <w:sz w:val="28"/>
        </w:rPr>
        <w:t>dgher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