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832AB8" w:rsidRDefault="002F138C" w:rsidP="002F138C">
      <w:pPr>
        <w:spacing w:line="240" w:lineRule="auto"/>
        <w:jc w:val="center"/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FE2177">
      <w:pPr>
        <w:spacing w:line="240" w:lineRule="auto"/>
        <w:ind w:left="4956" w:firstLine="0"/>
      </w:pPr>
      <w:r>
        <w:t>РЕКОМЕНДОВАНО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FE2177">
      <w:pPr>
        <w:spacing w:line="240" w:lineRule="auto"/>
        <w:ind w:left="4956" w:firstLine="0"/>
      </w:pPr>
      <w:r>
        <w:t>В</w:t>
      </w:r>
      <w:r w:rsidR="00A85D97">
        <w:t xml:space="preserve"> </w:t>
      </w:r>
      <w:r>
        <w:t>ГЭК</w:t>
      </w:r>
      <w:r w:rsidR="00A85D97"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  <w:r w:rsidR="00FE2177">
        <w:t>____________</w:t>
      </w:r>
      <w:r w:rsidR="00564C0F">
        <w:t>______________</w:t>
      </w:r>
    </w:p>
    <w:p w:rsidR="00FE2177" w:rsidRDefault="00A85D97" w:rsidP="00FE2177">
      <w:pPr>
        <w:tabs>
          <w:tab w:val="left" w:pos="5529"/>
        </w:tabs>
        <w:spacing w:line="240" w:lineRule="auto"/>
        <w:ind w:left="5664" w:firstLine="0"/>
        <w:jc w:val="right"/>
      </w:pPr>
      <w:r>
        <w:t xml:space="preserve"> </w:t>
      </w:r>
      <w:r w:rsidR="00FE2177">
        <w:t>____________________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Default="002F138C" w:rsidP="002F138C">
      <w:pPr>
        <w:spacing w:line="240" w:lineRule="auto"/>
        <w:ind w:firstLine="0"/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r w:rsidRPr="00B9578F">
        <w:t>магистра</w:t>
      </w:r>
    </w:p>
    <w:p w:rsidR="00FE680E" w:rsidRDefault="00FE680E" w:rsidP="002F138C">
      <w:pPr>
        <w:spacing w:line="240" w:lineRule="auto"/>
        <w:ind w:firstLine="0"/>
        <w:jc w:val="center"/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 w:firstRow="1" w:lastRow="0" w:firstColumn="1" w:lastColumn="0" w:noHBand="0" w:noVBand="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2F138C" w:rsidP="002F138C">
            <w:pPr>
              <w:spacing w:line="240" w:lineRule="auto"/>
              <w:ind w:firstLine="0"/>
              <w:jc w:val="left"/>
            </w:pPr>
            <w:r w:rsidRPr="00582FE7">
              <w:t>к</w:t>
            </w:r>
            <w:r>
              <w:t>–</w:t>
            </w:r>
            <w:r w:rsidRPr="00582FE7">
              <w:t>т</w:t>
            </w:r>
            <w:r w:rsidR="00A85D97">
              <w:t xml:space="preserve"> </w:t>
            </w:r>
            <w:r>
              <w:t>пед.</w:t>
            </w:r>
            <w:r w:rsidR="00A85D97">
              <w:t xml:space="preserve"> </w:t>
            </w:r>
            <w:r>
              <w:t>наук,</w:t>
            </w:r>
            <w:r w:rsidR="00A85D97">
              <w:t xml:space="preserve"> </w:t>
            </w:r>
            <w:r>
              <w:t>доцент</w:t>
            </w:r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2F138C" w:rsidRDefault="002F138C" w:rsidP="002F138C">
      <w:pPr>
        <w:spacing w:line="240" w:lineRule="auto"/>
        <w:ind w:firstLine="0"/>
      </w:pPr>
    </w:p>
    <w:p w:rsidR="002F138C" w:rsidRDefault="002F138C" w:rsidP="002F138C">
      <w:pPr>
        <w:spacing w:line="240" w:lineRule="auto"/>
        <w:ind w:firstLine="0"/>
        <w:jc w:val="center"/>
      </w:pPr>
    </w:p>
    <w:p w:rsidR="00B9578F" w:rsidRDefault="00B9578F" w:rsidP="002F138C">
      <w:pPr>
        <w:spacing w:line="240" w:lineRule="auto"/>
        <w:ind w:firstLine="0"/>
        <w:jc w:val="center"/>
      </w:pPr>
    </w:p>
    <w:p w:rsidR="00B9578F" w:rsidRDefault="00B9578F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2F138C" w:rsidRDefault="002F138C" w:rsidP="002F138C">
      <w:pPr>
        <w:spacing w:line="240" w:lineRule="auto"/>
        <w:ind w:firstLine="0"/>
        <w:jc w:val="center"/>
      </w:pPr>
      <w:r>
        <w:t>2020</w:t>
      </w:r>
    </w:p>
    <w:p w:rsidR="00862A1C" w:rsidRDefault="00862A1C" w:rsidP="006B1721">
      <w:pPr>
        <w:spacing w:line="240" w:lineRule="auto"/>
        <w:jc w:val="center"/>
      </w:pPr>
      <w:r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20349F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034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0349F">
            <w:fldChar w:fldCharType="begin"/>
          </w:r>
          <w:r w:rsidR="00A25FC6" w:rsidRPr="0020349F">
            <w:instrText xml:space="preserve"> TOC \o "1-3" \h \z \u </w:instrText>
          </w:r>
          <w:r w:rsidRPr="0020349F">
            <w:fldChar w:fldCharType="separate"/>
          </w:r>
          <w:hyperlink w:anchor="_Toc29709913" w:history="1">
            <w:r w:rsidR="00505CA7" w:rsidRPr="00BA7482">
              <w:rPr>
                <w:rStyle w:val="af"/>
                <w:noProof/>
              </w:rPr>
              <w:t>ГЛОССАРИЙ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4" w:history="1">
            <w:r w:rsidR="00505CA7" w:rsidRPr="00BA7482">
              <w:rPr>
                <w:rStyle w:val="af"/>
                <w:noProof/>
              </w:rPr>
              <w:t>ВВЕДЕНИЕ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_Toc29709914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5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ТЕОРЕТИЧЕСКИЕ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ОСНОВЫ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ПРОБЛЕМЫ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_Toc29709915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6" w:history="1">
            <w:r w:rsidR="00505CA7" w:rsidRPr="00BA7482">
              <w:rPr>
                <w:rStyle w:val="af"/>
                <w:noProof/>
              </w:rPr>
              <w:t>1.1.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ПОДХОДЫ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ОПРЕДЕЛЕНИЮ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ПОНЯТИЯ,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СТРУКТУРЫ,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МЕХАНИЗМОВ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ФОРМИРОВАНИЯ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_Toc29709916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7" w:history="1">
            <w:r w:rsidR="00505CA7" w:rsidRPr="00BA7482">
              <w:rPr>
                <w:rStyle w:val="af"/>
                <w:noProof/>
              </w:rPr>
              <w:t>1.2.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КАК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СРЕДСТВО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_Toc29709917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15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8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ПЕРВОЙ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_Toc29709918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19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9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_Toc29709919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0" w:history="1">
            <w:r w:rsidR="00505CA7" w:rsidRPr="00BA7482">
              <w:rPr>
                <w:rStyle w:val="af"/>
                <w:noProof/>
              </w:rPr>
              <w:t>2.1.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ОРГАНИЗАЦИЯ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КОНСТАТИРУЮЩЕГО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–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_Toc29709920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1" w:history="1">
            <w:r w:rsidR="00505CA7" w:rsidRPr="00BA7482">
              <w:rPr>
                <w:rStyle w:val="af"/>
                <w:noProof/>
              </w:rPr>
              <w:t>2.2.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_Toc29709921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31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2" w:history="1">
            <w:r w:rsidR="00505CA7" w:rsidRPr="00BA7482">
              <w:rPr>
                <w:rStyle w:val="af"/>
                <w:noProof/>
              </w:rPr>
              <w:t>2.3.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КОНТРОЛЬНОГО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ОБЩАЯ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_Toc29709922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38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3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ВТОРОЙ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_Toc29709923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48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4" w:history="1">
            <w:r w:rsidR="00505CA7" w:rsidRPr="00BA7482">
              <w:rPr>
                <w:rStyle w:val="af"/>
                <w:noProof/>
              </w:rPr>
              <w:t>ЗАКЛЮЧЕНИЕ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_Toc29709924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49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5" w:history="1">
            <w:r w:rsidR="00505CA7" w:rsidRPr="00BA7482">
              <w:rPr>
                <w:rStyle w:val="af"/>
                <w:noProof/>
              </w:rPr>
              <w:t>БИБЛИОГРАФИЧЕСКИЙ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СПИСОК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_Toc29709925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52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6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ОЦЕНИВАНИЯ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(И.А.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ПЕТРОВ)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_Toc29709926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61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D5380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7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ДИАГНОСТИКИ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МОТИВОВ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УЧЕБНОЙ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ДЕЯТЕЛЬНОСТИ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(А.А.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РЕАН,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ЯКУНИН)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_Toc29709927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63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A25FC6" w:rsidRPr="0020349F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</w:pPr>
          <w:r w:rsidRPr="0020349F"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1" w:name="_Toc29709913"/>
      <w:r w:rsidRPr="00510027">
        <w:lastRenderedPageBreak/>
        <w:t>ГЛОССАРИЙ</w:t>
      </w:r>
      <w:bookmarkEnd w:id="1"/>
      <w:bookmarkEnd w:id="0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2" w:name="_Toc472938450"/>
      <w:bookmarkStart w:id="3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2"/>
    <w:bookmarkEnd w:id="3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4" w:name="_Toc534929345"/>
      <w:bookmarkStart w:id="5" w:name="_Toc29709914"/>
      <w:r w:rsidRPr="00510027">
        <w:lastRenderedPageBreak/>
        <w:t>ВВЕДЕНИЕ</w:t>
      </w:r>
      <w:bookmarkEnd w:id="4"/>
      <w:bookmarkEnd w:id="5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lastRenderedPageBreak/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r w:rsidR="001D34CF">
        <w:t>между</w:t>
      </w:r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средств</w:t>
      </w:r>
      <w:r w:rsidR="00A85D97">
        <w:t xml:space="preserve"> </w:t>
      </w:r>
      <w:r w:rsidR="00492017">
        <w:t>для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исследования</w:t>
      </w:r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lastRenderedPageBreak/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r w:rsidR="005B649E" w:rsidRPr="00A755DA">
        <w:t xml:space="preserve">Батдалова,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r w:rsidR="00A755DA" w:rsidRPr="00A755DA">
        <w:rPr>
          <w:rStyle w:val="hl"/>
        </w:rPr>
        <w:t>Сластенин)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r w:rsidR="00F83D4F" w:rsidRPr="00A755DA">
        <w:t xml:space="preserve">Кабанкова, </w:t>
      </w:r>
      <w:r w:rsidR="00521894" w:rsidRPr="00A755DA">
        <w:t>Н.В. Надеева)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lastRenderedPageBreak/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Веберг,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r w:rsidRPr="00AE1BC6">
        <w:t>пров</w:t>
      </w:r>
      <w:r>
        <w:t>едены</w:t>
      </w:r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r w:rsidRPr="00AE1BC6">
        <w:t>Оформительско-внедренческий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эмпирические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lastRenderedPageBreak/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r w:rsidR="00E24FFE">
        <w:t>ТюмГУ</w:t>
      </w:r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r w:rsidR="00E24FFE">
        <w:t>ТюмГУ,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С.460‒465.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6" w:name="_Toc534929346"/>
      <w:bookmarkStart w:id="7" w:name="_Toc29709915"/>
      <w:r>
        <w:lastRenderedPageBreak/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6"/>
      <w:bookmarkEnd w:id="7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8" w:name="_Toc534929347"/>
      <w:bookmarkStart w:id="9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8"/>
      <w:bookmarkEnd w:id="9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Т.Д. </w:t>
      </w:r>
      <w:r w:rsidR="00F9681C" w:rsidRPr="00D905EA">
        <w:t xml:space="preserve">Егорушкина Т.Д. </w:t>
      </w:r>
      <w:r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>
        <w:t>»</w:t>
      </w:r>
      <w:r w:rsidR="00F9681C">
        <w:t xml:space="preserve"> [32, с.35]</w:t>
      </w:r>
      <w:r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r w:rsidR="0061585B" w:rsidRPr="00D905EA">
        <w:t>Веберг</w:t>
      </w:r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lastRenderedPageBreak/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B9578F" w:rsidRDefault="00085C62" w:rsidP="00B9578F">
      <w:pPr>
        <w:widowControl w:val="0"/>
        <w:shd w:val="clear" w:color="auto" w:fill="FFFFFF"/>
      </w:pPr>
      <w:r>
        <w:rPr>
          <w:rStyle w:val="hl"/>
        </w:rPr>
        <w:t xml:space="preserve">А.В. </w:t>
      </w:r>
      <w:r w:rsidRPr="00D905EA">
        <w:rPr>
          <w:rStyle w:val="hl"/>
        </w:rPr>
        <w:t>Купавцев</w:t>
      </w:r>
      <w:r w:rsidR="00A85D97">
        <w:t xml:space="preserve"> </w:t>
      </w:r>
      <w:r w:rsidR="009767F1">
        <w:t>считает, что «</w:t>
      </w:r>
      <w:r w:rsidR="000E5FD7" w:rsidRPr="00C77A4A">
        <w:t>обучение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 w:rsidR="009767F1">
        <w:t>» [</w:t>
      </w:r>
      <w:r>
        <w:t>45, с.45</w:t>
      </w:r>
      <w:r w:rsidR="009767F1"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B9578F" w:rsidP="00B9578F">
      <w:pPr>
        <w:widowControl w:val="0"/>
        <w:shd w:val="clear" w:color="auto" w:fill="FFFFFF"/>
      </w:pPr>
      <w:r>
        <w:t xml:space="preserve">Познавательная самостоятельность часто связана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>
        <w:t xml:space="preserve">с проявлениями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="000E5FD7" w:rsidRPr="00C77A4A">
        <w:t>«избирательн</w:t>
      </w:r>
      <w:r w:rsidR="00845761">
        <w:t>ой</w:t>
      </w:r>
      <w:r w:rsidR="00A85D97">
        <w:t xml:space="preserve"> </w:t>
      </w:r>
      <w:r w:rsidR="000E5FD7" w:rsidRPr="00C77A4A">
        <w:t>направленност</w:t>
      </w:r>
      <w:r w:rsidR="00845761">
        <w:t>и</w:t>
      </w:r>
      <w:r w:rsidR="00A85D97">
        <w:t xml:space="preserve"> </w:t>
      </w:r>
      <w:r w:rsidR="000E5FD7" w:rsidRPr="00C77A4A">
        <w:t>личности,</w:t>
      </w:r>
      <w:r w:rsidR="00A85D97">
        <w:t xml:space="preserve"> </w:t>
      </w:r>
      <w:r w:rsidR="000E5FD7" w:rsidRPr="00C77A4A">
        <w:t>обращенн</w:t>
      </w:r>
      <w:r w:rsidR="00845761">
        <w:t>ой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области</w:t>
      </w:r>
      <w:r w:rsidR="00A85D97">
        <w:t xml:space="preserve"> </w:t>
      </w:r>
      <w:r w:rsidR="000E5FD7" w:rsidRPr="00C77A4A">
        <w:t>познания,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ее</w:t>
      </w:r>
      <w:r w:rsidR="00A85D97">
        <w:t xml:space="preserve"> </w:t>
      </w:r>
      <w:r w:rsidR="000E5FD7" w:rsidRPr="00C77A4A">
        <w:t>предметной</w:t>
      </w:r>
      <w:r w:rsidR="00A85D97">
        <w:t xml:space="preserve"> </w:t>
      </w:r>
      <w:r w:rsidR="000E5FD7" w:rsidRPr="00C77A4A">
        <w:t>стороне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самому</w:t>
      </w:r>
      <w:r w:rsidR="00A85D97">
        <w:t xml:space="preserve"> </w:t>
      </w:r>
      <w:r w:rsidR="000E5FD7" w:rsidRPr="00C77A4A">
        <w:t>процессу</w:t>
      </w:r>
      <w:r w:rsidR="00A85D97">
        <w:t xml:space="preserve"> </w:t>
      </w:r>
      <w:r w:rsidR="000E5FD7" w:rsidRPr="00C77A4A">
        <w:t>овладения</w:t>
      </w:r>
      <w:r w:rsidR="00A85D97">
        <w:t xml:space="preserve"> </w:t>
      </w:r>
      <w:r w:rsidR="000E5FD7" w:rsidRPr="00C77A4A">
        <w:t>знаниями»</w:t>
      </w:r>
      <w:r w:rsidR="00A85D97">
        <w:t xml:space="preserve"> </w:t>
      </w:r>
      <w:r w:rsidR="000E5FD7" w:rsidRPr="00C77A4A">
        <w:t>[48].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Л.И.</w:t>
      </w:r>
      <w:r w:rsidR="00A85D97">
        <w:t xml:space="preserve"> </w:t>
      </w:r>
      <w:r w:rsidRPr="00C77A4A">
        <w:t>Божович</w:t>
      </w:r>
      <w:r w:rsidR="00A85D97">
        <w:t xml:space="preserve"> </w:t>
      </w:r>
      <w:r w:rsidRPr="00C77A4A">
        <w:t>представлял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 w:rsidR="00845761">
        <w:t>познавательную</w:t>
      </w:r>
      <w:r w:rsidR="00A85D97">
        <w:t xml:space="preserve"> </w:t>
      </w:r>
      <w:r w:rsidR="00845761">
        <w:t>самостоятельность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Pr="00C77A4A">
        <w:t>мотив</w:t>
      </w:r>
      <w:r w:rsidR="00845761">
        <w:t>ы</w:t>
      </w:r>
      <w:r w:rsidR="00A85D97">
        <w:t xml:space="preserve"> </w:t>
      </w:r>
      <w:r w:rsidRPr="00C77A4A">
        <w:t>учения,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важны</w:t>
      </w:r>
      <w:r w:rsidR="00845761">
        <w:t>е</w:t>
      </w:r>
      <w:r w:rsidR="00A85D97">
        <w:t xml:space="preserve"> </w:t>
      </w:r>
      <w:r w:rsidRPr="00C77A4A">
        <w:t>фактор</w:t>
      </w:r>
      <w:r w:rsidR="00845761">
        <w:t>ы</w:t>
      </w:r>
      <w:r w:rsidR="00A85D97">
        <w:t xml:space="preserve"> </w:t>
      </w:r>
      <w:r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Pr="00C77A4A">
        <w:t>овладени</w:t>
      </w:r>
      <w:r w:rsidR="00845761">
        <w:t>и</w:t>
      </w:r>
      <w:r w:rsidR="00A85D97">
        <w:t xml:space="preserve"> </w:t>
      </w:r>
      <w:r w:rsidRPr="00C77A4A">
        <w:t>знаниями</w:t>
      </w:r>
      <w:r w:rsidR="00A85D97">
        <w:t xml:space="preserve"> </w:t>
      </w:r>
      <w:r w:rsidRPr="00C77A4A">
        <w:t>[7].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Б.Г.</w:t>
      </w:r>
      <w:r w:rsidR="00A85D97">
        <w:t xml:space="preserve"> </w:t>
      </w:r>
      <w:r w:rsidRPr="00C77A4A">
        <w:t>Ананьев</w:t>
      </w:r>
      <w:r w:rsidR="00A85D97">
        <w:t xml:space="preserve"> </w:t>
      </w:r>
      <w:r w:rsidRPr="00C77A4A">
        <w:t>связывает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удовлетворением</w:t>
      </w:r>
      <w:r w:rsidR="00A85D97">
        <w:t xml:space="preserve"> </w:t>
      </w:r>
      <w:r w:rsidRPr="00C77A4A">
        <w:t>потребности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знаниях</w:t>
      </w:r>
      <w:r w:rsidR="00A85D97">
        <w:t xml:space="preserve"> </w:t>
      </w:r>
      <w:r w:rsidRPr="00C77A4A">
        <w:t>[4].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Д.Б.</w:t>
      </w:r>
      <w:r w:rsidR="00A85D97">
        <w:t xml:space="preserve"> </w:t>
      </w:r>
      <w:r w:rsidRPr="00C77A4A">
        <w:t>Эльконин,</w:t>
      </w:r>
      <w:r w:rsidR="00A85D97">
        <w:t xml:space="preserve"> </w:t>
      </w:r>
      <w:r w:rsidRPr="00C77A4A">
        <w:t>В.В.</w:t>
      </w:r>
      <w:r w:rsidR="00A85D97">
        <w:t xml:space="preserve"> </w:t>
      </w:r>
      <w:r w:rsidRPr="00C77A4A">
        <w:t>Давыдов</w:t>
      </w:r>
      <w:r w:rsidR="00A85D97">
        <w:t xml:space="preserve"> </w:t>
      </w:r>
      <w:r w:rsidRPr="00C77A4A">
        <w:t>доказали,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="003B0D5E">
        <w:t>познавательная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 w:rsidRPr="00C77A4A">
        <w:t>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И.А.</w:t>
      </w:r>
      <w:r w:rsidR="00A85D97">
        <w:t xml:space="preserve"> </w:t>
      </w:r>
      <w:r w:rsidRPr="00C77A4A">
        <w:t>Зимняя</w:t>
      </w:r>
      <w:r w:rsidR="00A85D97">
        <w:t xml:space="preserve"> </w:t>
      </w:r>
      <w:r w:rsidRPr="00C77A4A">
        <w:t>отмечает,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свою</w:t>
      </w:r>
      <w:r w:rsidR="00A85D97">
        <w:t xml:space="preserve"> </w:t>
      </w:r>
      <w:r w:rsidRPr="00C77A4A">
        <w:t>очередь</w:t>
      </w:r>
      <w:r w:rsidR="00A85D97">
        <w:t xml:space="preserve"> </w:t>
      </w: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мотивирующим</w:t>
      </w:r>
      <w:r w:rsidR="00A85D97">
        <w:t xml:space="preserve"> </w:t>
      </w:r>
      <w:r w:rsidRPr="00C77A4A">
        <w:t>стимулом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[17]</w:t>
      </w:r>
      <w:r w:rsidR="00A85D97">
        <w:t xml:space="preserve"> </w:t>
      </w:r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r w:rsidRPr="00C77A4A">
        <w:t>индивидуал</w:t>
      </w:r>
      <w:r w:rsidR="00A36977">
        <w:t>ьна</w:t>
      </w:r>
      <w:r w:rsidRPr="00C77A4A">
        <w:t>;</w:t>
      </w:r>
    </w:p>
    <w:p w:rsidR="000E5FD7" w:rsidRPr="00C77A4A" w:rsidRDefault="00DE4425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>
        <w:t>ая самостоятельность — это</w:t>
      </w:r>
      <w:r w:rsidR="00A85D97">
        <w:t xml:space="preserve"> </w:t>
      </w:r>
      <w:r w:rsidR="000E5FD7" w:rsidRPr="00C77A4A">
        <w:t>мощны</w:t>
      </w:r>
      <w:r w:rsidR="00A36977">
        <w:t>й</w:t>
      </w:r>
      <w:r w:rsidR="00A85D97">
        <w:t xml:space="preserve"> </w:t>
      </w:r>
      <w:r w:rsidR="000E5FD7" w:rsidRPr="00C77A4A">
        <w:t>мотив</w:t>
      </w:r>
      <w:r w:rsidR="00A85D97">
        <w:t xml:space="preserve"> </w:t>
      </w:r>
      <w:r w:rsidR="000E5FD7" w:rsidRPr="00C77A4A">
        <w:t>процесса</w:t>
      </w:r>
      <w:r w:rsidR="00A85D97">
        <w:t xml:space="preserve"> </w:t>
      </w:r>
      <w:r w:rsidR="000E5FD7" w:rsidRPr="00C77A4A">
        <w:t>познания.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A85D97">
        <w:t xml:space="preserve">           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lastRenderedPageBreak/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r w:rsidRPr="00C77A4A">
        <w:t>сформированного</w:t>
      </w:r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D80A10" w:rsidRPr="00C77A4A" w:rsidRDefault="00D80A10" w:rsidP="000E5FD7">
      <w:pPr>
        <w:widowControl w:val="0"/>
        <w:shd w:val="clear" w:color="auto" w:fill="FFFFFF"/>
      </w:pPr>
      <w:r>
        <w:t>Снижение познавательной самостоятельности приводит к отсутствию достижений, депрессии, прокрастинации и прочим видам деградации личности.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="002F27D1">
        <w:t>самостоятельная личность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взаимодополняемы.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lastRenderedPageBreak/>
        <w:t>первую</w:t>
      </w:r>
      <w:r w:rsidR="00A85D97">
        <w:t xml:space="preserve"> </w:t>
      </w:r>
      <w:r w:rsidRPr="00C77A4A">
        <w:t>очередь</w:t>
      </w:r>
      <w:r w:rsidR="00A85D97">
        <w:t xml:space="preserve">  </w:t>
      </w:r>
      <w:r w:rsidRPr="00C77A4A">
        <w:t>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="002F27D1">
        <w:t>студента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="002F27D1">
        <w:t>Даже на первом курсе студент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="002F27D1">
        <w:t>лекций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="002F27D1">
        <w:t>учебников</w:t>
      </w:r>
      <w:r w:rsidRPr="00C77A4A">
        <w:t>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="002F27D1">
        <w:t>студент</w:t>
      </w:r>
      <w:r w:rsidRPr="00C77A4A">
        <w:t>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="002F27D1">
        <w:t xml:space="preserve">самостоятельно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r w:rsidRPr="00C77A4A">
        <w:t>интерес»[45].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="006A552D">
        <w:t>студента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="006A552D">
        <w:t>студента</w:t>
      </w:r>
      <w:r w:rsidRPr="00C77A4A">
        <w:t>.</w:t>
      </w:r>
      <w:r w:rsidR="00A85D97">
        <w:t xml:space="preserve"> </w:t>
      </w:r>
      <w:r w:rsidR="00170413">
        <w:t>Он</w:t>
      </w:r>
      <w:r w:rsidR="00A85D97">
        <w:t xml:space="preserve">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r w:rsidRPr="00C77A4A">
        <w:t>сферах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деятельностью.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t>личностную</w:t>
      </w:r>
      <w:r w:rsidR="00A85D97">
        <w:t xml:space="preserve"> </w:t>
      </w:r>
      <w:r w:rsidRPr="00C77A4A">
        <w:t>характеристику.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="00170413">
        <w:t>преподавателя в современном университете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="00170413">
        <w:t xml:space="preserve">лишь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="00170413">
        <w:t>если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</w:t>
      </w:r>
      <w:r w:rsidR="00170413">
        <w:t>й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="00170413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Системно-деятельностный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учении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lastRenderedPageBreak/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t>действия</w:t>
      </w:r>
      <w:r w:rsidR="00550B99">
        <w:t>, созидания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деятельность.»</w:t>
      </w:r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 w:rsidR="00550B99">
        <w:rPr>
          <w:sz w:val="28"/>
          <w:szCs w:val="28"/>
        </w:rPr>
        <w:t>что-то 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550B99" w:rsidRDefault="00550B99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 развитие познавательной самостоятельности очень хорошо происходит в связи с сопутствующей созидательной деятельностью.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 w:rsidR="00306815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«за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про</w:t>
      </w:r>
      <w:r w:rsidR="008C39E4" w:rsidRPr="008C39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понимает</w:t>
      </w:r>
      <w:r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</w:t>
      </w:r>
      <w:r w:rsidR="008C39E4">
        <w:rPr>
          <w:sz w:val="28"/>
          <w:szCs w:val="28"/>
        </w:rPr>
        <w:t xml:space="preserve"> их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кстати.</w:t>
      </w:r>
    </w:p>
    <w:p w:rsidR="00BD193E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семестрово-сессионого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AD648A" w:rsidRPr="00D5380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8C39E4">
        <w:rPr>
          <w:sz w:val="28"/>
          <w:szCs w:val="28"/>
        </w:rPr>
        <w:t xml:space="preserve"> </w:t>
      </w:r>
      <w:r w:rsidR="00D5380A">
        <w:rPr>
          <w:sz w:val="28"/>
          <w:szCs w:val="28"/>
        </w:rPr>
        <w:t>познавательная самостоятельность хорошо развивается на фоне благожелательного отношения со стороны преподавателей и других студентов, при достаточном развитии образовательной среды и чёткой постановке глобальных и локальных целей во многом совпадающих с целями и возможностями самого студента.</w:t>
      </w:r>
      <w:bookmarkStart w:id="10" w:name="_GoBack"/>
      <w:bookmarkEnd w:id="10"/>
    </w:p>
    <w:p w:rsidR="00145DD3" w:rsidRDefault="00145DD3" w:rsidP="00C83E0B">
      <w:pPr>
        <w:ind w:left="-15" w:right="284"/>
      </w:pPr>
    </w:p>
    <w:p w:rsidR="00E7438A" w:rsidRPr="00DD749A" w:rsidRDefault="00E7438A" w:rsidP="00DD749A">
      <w:pPr>
        <w:pStyle w:val="1"/>
      </w:pPr>
      <w:bookmarkStart w:id="11" w:name="_Toc29709917"/>
      <w:r w:rsidRPr="00DD749A"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1"/>
    </w:p>
    <w:p w:rsidR="009930E2" w:rsidRDefault="009930E2" w:rsidP="001C2279"/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Виленекий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«</w:t>
      </w:r>
      <w:r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своеобразный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дискурс»,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CD3E67" w:rsidP="00647080">
      <w:pPr>
        <w:rPr>
          <w:rFonts w:eastAsia="Times New Roman"/>
          <w:color w:val="000000" w:themeColor="text1"/>
          <w:lang w:eastAsia="ru-RU"/>
        </w:rPr>
      </w:pPr>
      <w:r w:rsidRPr="007F2CF9">
        <w:rPr>
          <w:color w:val="000000" w:themeColor="text1"/>
          <w:shd w:val="clear" w:color="auto" w:fill="FFFFFF"/>
        </w:rPr>
        <w:lastRenderedPageBreak/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Ходусов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Шуклин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отмечают,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что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компетентностного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Pr="007F2CF9">
        <w:rPr>
          <w:color w:val="000000" w:themeColor="text1"/>
          <w:shd w:val="clear" w:color="auto" w:fill="FFFFFF"/>
        </w:rPr>
        <w:t>[74</w:t>
      </w:r>
      <w:r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46</w:t>
      </w:r>
      <w:r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t>М.В.</w:t>
      </w:r>
      <w:r w:rsidR="00A85D97">
        <w:t xml:space="preserve"> </w:t>
      </w:r>
      <w:r w:rsidRPr="007F2CF9">
        <w:t>Бауло</w:t>
      </w:r>
      <w:r w:rsidR="00A85D97">
        <w:t xml:space="preserve"> </w:t>
      </w:r>
      <w:r w:rsidRPr="007F2CF9">
        <w:t>отмечает,</w:t>
      </w:r>
      <w:r w:rsidR="00A85D97">
        <w:t xml:space="preserve"> </w:t>
      </w:r>
      <w:r w:rsidRPr="007F2CF9">
        <w:t>что</w:t>
      </w:r>
      <w:r w:rsidR="00A85D97">
        <w:t xml:space="preserve"> </w:t>
      </w:r>
      <w:r w:rsidR="009B005F">
        <w:t>информационно-коммуникационные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средств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оперативный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общественности)»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[11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314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психокоррекционной,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lastRenderedPageBreak/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саморегуляции,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самопрезентации»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Интернет-доступе,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pStyle w:val="a7"/>
        <w:ind w:left="0"/>
        <w:rPr>
          <w:color w:val="000000" w:themeColor="text1"/>
        </w:rPr>
      </w:pPr>
      <w:r w:rsidRPr="007F2CF9">
        <w:rPr>
          <w:color w:val="000000" w:themeColor="text1"/>
        </w:rPr>
        <w:t>А.В.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отмечает,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образовательные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безграничны.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lastRenderedPageBreak/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Интернет-зависимости»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[75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248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Кучурин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(on-line)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наномерности,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интернет-аудитории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мультимедийность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веб-страницы,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обогатив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своѐ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считает,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что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потребностям.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[21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28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Патаракин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компетений,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lastRenderedPageBreak/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365013">
        <w:rPr>
          <w:rFonts w:eastAsia="Times New Roman"/>
          <w:color w:val="000000" w:themeColor="text1"/>
          <w:highlight w:val="cyan"/>
          <w:lang w:eastAsia="ru-RU"/>
        </w:rPr>
        <w:t>Таким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 w:themeColor="text1"/>
          <w:highlight w:val="cyan"/>
          <w:lang w:eastAsia="ru-RU"/>
        </w:rPr>
        <w:t>образом,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="0004094C">
        <w:rPr>
          <w:rFonts w:eastAsia="Times New Roman"/>
          <w:color w:val="000000" w:themeColor="text1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качестве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образовательных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инструментов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виртуальном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пространстве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используются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музеи,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электронные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библиотеки,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архивы,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альбомы,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карты,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социальные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сети,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блоги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или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веб-страницы.</w:t>
      </w:r>
    </w:p>
    <w:p w:rsidR="00CD3E67" w:rsidRDefault="00CD3E67" w:rsidP="001C2279"/>
    <w:p w:rsidR="001C2279" w:rsidRPr="001C2279" w:rsidRDefault="001C2279" w:rsidP="001C2279">
      <w:r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(СРС)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r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r w:rsidR="00AF0BE1">
        <w:t>МООК</w:t>
      </w:r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r w:rsidR="00AF0BE1">
        <w:t>онлайн-курсы),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r w:rsidR="00AF0BE1">
        <w:t>вебинары,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r w:rsidR="00AF0BE1">
        <w:t>онлайн-консультирование,</w:t>
      </w:r>
      <w:r w:rsidR="00A85D97">
        <w:t xml:space="preserve"> </w:t>
      </w:r>
      <w:r w:rsidR="00EE13C1">
        <w:t>онлайн-конференции,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r w:rsidR="00EE13C1">
        <w:lastRenderedPageBreak/>
        <w:t>онлайн-проекты,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r w:rsidR="00EE13C1">
        <w:t>хакатон</w:t>
      </w:r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r w:rsidR="00EE13C1">
        <w:t>тьюторы,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(Open</w:t>
      </w:r>
      <w:r w:rsidR="00A85D97">
        <w:t xml:space="preserve"> </w:t>
      </w:r>
      <w:r w:rsidRPr="0062437B">
        <w:t>Learning</w:t>
      </w:r>
      <w:r w:rsidR="00A85D97">
        <w:t xml:space="preserve"> </w:t>
      </w:r>
      <w:r w:rsidRPr="0062437B">
        <w:t>Australia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OLA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r w:rsidRPr="0062437B">
        <w:t>АВС,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r w:rsidRPr="0062437B">
        <w:t>OLA.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</w:t>
      </w:r>
      <w:r w:rsidR="00A85D97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интернет-лекции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интернет-семинары.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r w:rsidRPr="0062437B">
        <w:t>видеолекции,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r w:rsidRPr="00D91DF5">
        <w:t>СГА.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СГА</w:t>
      </w:r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lastRenderedPageBreak/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r w:rsidR="00D91DF5" w:rsidRPr="00D91DF5">
        <w:t>значимости.(</w:t>
      </w:r>
      <w:hyperlink r:id="rId11" w:history="1">
        <w:r w:rsidR="00D91DF5" w:rsidRPr="00D91DF5">
          <w:rPr>
            <w:rStyle w:val="af"/>
          </w:rPr>
          <w:t>http://www.sgutv.ru/sgatv.htm</w:t>
        </w:r>
      </w:hyperlink>
      <w:r w:rsidR="00A85D97">
        <w:t xml:space="preserve">  </w:t>
      </w:r>
      <w:r w:rsidRPr="00D91DF5">
        <w:t>(дата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r w:rsidRPr="0062437B">
        <w:t>обучающемуся</w:t>
      </w:r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lastRenderedPageBreak/>
        <w:br w:type="page"/>
      </w:r>
    </w:p>
    <w:p w:rsidR="00D278AB" w:rsidRPr="009930E2" w:rsidRDefault="00663134" w:rsidP="009930E2">
      <w:pPr>
        <w:pStyle w:val="1"/>
      </w:pPr>
      <w:bookmarkStart w:id="12" w:name="_Toc534929351"/>
      <w:bookmarkStart w:id="13" w:name="_Toc29709918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2"/>
      <w:bookmarkEnd w:id="13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FC541E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Проведенный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основ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проблемы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позволил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сделать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следующие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выводы: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Показано,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что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профессиональное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самосознание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возрастает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ростом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профессионализма.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sz w:val="28"/>
          <w:szCs w:val="28"/>
          <w:highlight w:val="cyan"/>
          <w:shd w:val="clear" w:color="auto" w:fill="FFFFFF"/>
        </w:rPr>
        <w:t>Установлено,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что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актуальной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проблемой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психологии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педагогики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является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013192" w:rsidRPr="00FC541E">
        <w:rPr>
          <w:sz w:val="28"/>
          <w:szCs w:val="28"/>
          <w:highlight w:val="cyan"/>
          <w:shd w:val="clear" w:color="auto" w:fill="FFFFFF"/>
        </w:rPr>
        <w:t>развит</w:t>
      </w:r>
      <w:r w:rsidRPr="00FC541E">
        <w:rPr>
          <w:sz w:val="28"/>
          <w:szCs w:val="28"/>
          <w:highlight w:val="cyan"/>
          <w:shd w:val="clear" w:color="auto" w:fill="FFFFFF"/>
        </w:rPr>
        <w:t>ие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познавательной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самостоятельности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личности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будущих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специалистов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процессе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учебно-профессиональной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деятельности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учетом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специфики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Тюменского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региона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настоящее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время.</w:t>
      </w:r>
    </w:p>
    <w:p w:rsidR="00B96B11" w:rsidRPr="00FC541E" w:rsidRDefault="00B96B11" w:rsidP="00B96B11">
      <w:pPr>
        <w:tabs>
          <w:tab w:val="left" w:pos="851"/>
        </w:tabs>
        <w:ind w:firstLineChars="253" w:firstLine="708"/>
        <w:rPr>
          <w:highlight w:val="cyan"/>
          <w:shd w:val="clear" w:color="auto" w:fill="FFFFFF"/>
        </w:rPr>
      </w:pPr>
      <w:r w:rsidRPr="00FC541E">
        <w:rPr>
          <w:highlight w:val="cyan"/>
          <w:shd w:val="clear" w:color="auto" w:fill="FFFFFF"/>
        </w:rPr>
        <w:t>При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013192" w:rsidRPr="00FC541E">
        <w:rPr>
          <w:highlight w:val="cyan"/>
          <w:shd w:val="clear" w:color="auto" w:fill="FFFFFF"/>
        </w:rPr>
        <w:t>развит</w:t>
      </w:r>
      <w:r w:rsidRPr="00FC541E">
        <w:rPr>
          <w:highlight w:val="cyan"/>
          <w:shd w:val="clear" w:color="auto" w:fill="FFFFFF"/>
        </w:rPr>
        <w:t>ии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познавательной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самостоятельности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важную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роль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играют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технические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регуляторы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труда.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222222"/>
          <w:highlight w:val="cyan"/>
        </w:rPr>
        <w:t>При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организации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работы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013192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познавательной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самостоятельности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предлагается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учитывать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практические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рекомендации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FE15CB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активного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субъекта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профессионального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развития.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highlight w:val="cyan"/>
        </w:rPr>
        <w:t>Описаны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этапы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становления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педагога.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000000"/>
          <w:highlight w:val="cyan"/>
        </w:rPr>
        <w:t>Показаны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highlight w:val="cyan"/>
        </w:rPr>
        <w:t>использования</w:t>
      </w:r>
      <w:r w:rsidR="00A85D97" w:rsidRPr="00FC541E">
        <w:rPr>
          <w:highlight w:val="cyan"/>
        </w:rPr>
        <w:t xml:space="preserve"> </w:t>
      </w:r>
      <w:r w:rsidR="00871FA6" w:rsidRPr="00FC541E">
        <w:rPr>
          <w:highlight w:val="cyan"/>
        </w:rPr>
        <w:t>информационно-коммуника</w:t>
      </w:r>
      <w:r w:rsidRPr="00FC541E">
        <w:rPr>
          <w:highlight w:val="cyan"/>
        </w:rPr>
        <w:t>ционных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технологий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при</w:t>
      </w:r>
      <w:r w:rsidR="00A85D97" w:rsidRPr="00FC541E">
        <w:rPr>
          <w:highlight w:val="cyan"/>
        </w:rPr>
        <w:t xml:space="preserve"> </w:t>
      </w:r>
      <w:r w:rsidR="00FE15CB" w:rsidRPr="00FC541E">
        <w:rPr>
          <w:highlight w:val="cyan"/>
        </w:rPr>
        <w:t>развит</w:t>
      </w:r>
      <w:r w:rsidRPr="00FC541E">
        <w:rPr>
          <w:highlight w:val="cyan"/>
        </w:rPr>
        <w:t>ии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FC541E">
        <w:rPr>
          <w:color w:val="000000"/>
          <w:highlight w:val="cyan"/>
        </w:rPr>
        <w:t>Выявлено,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что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роль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дистанционного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обучения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воспитания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состоит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обеспечении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доступности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информации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методах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целях</w:t>
      </w:r>
      <w:r w:rsidR="00A85D97" w:rsidRPr="00FC541E">
        <w:rPr>
          <w:color w:val="000000"/>
          <w:highlight w:val="cyan"/>
        </w:rPr>
        <w:t xml:space="preserve"> </w:t>
      </w:r>
      <w:r w:rsidR="00FE15CB" w:rsidRPr="00FC541E">
        <w:rPr>
          <w:color w:val="000000"/>
          <w:highlight w:val="cyan"/>
        </w:rPr>
        <w:t>развит</w:t>
      </w:r>
      <w:r w:rsidRPr="00FC541E">
        <w:rPr>
          <w:color w:val="000000"/>
          <w:highlight w:val="cyan"/>
        </w:rPr>
        <w:t>ия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познавательной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самостоятельности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создание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равных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возможностей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обучающихся.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4" w:name="_Toc534929352"/>
      <w:bookmarkStart w:id="15" w:name="_Toc29709919"/>
      <w:r w:rsidRPr="008C2CFF">
        <w:lastRenderedPageBreak/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4"/>
      <w:bookmarkEnd w:id="15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6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6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r w:rsidR="00854EAC">
        <w:t>ВО</w:t>
      </w:r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r w:rsidR="004A788A" w:rsidRPr="00583F81">
        <w:t>ТюмГУ.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ТюмГУ.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Реан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В.А.Якунин,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Н.Ц.Бадмаевой)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самооценивания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r w:rsidRPr="005F5D41">
        <w:t>А.А.Реан</w:t>
      </w:r>
      <w:r w:rsidR="00A85D97">
        <w:t xml:space="preserve"> </w:t>
      </w:r>
      <w:r w:rsidRPr="005F5D41">
        <w:t>и</w:t>
      </w:r>
      <w:r w:rsidR="00A85D97">
        <w:t xml:space="preserve"> </w:t>
      </w:r>
      <w:r w:rsidRPr="005F5D41">
        <w:t>В.А.Якунин,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r w:rsidRPr="005F5D41">
        <w:t>Н.Ц.Бадмаевой</w:t>
      </w:r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6D7BEE" w:rsidRPr="006D7BEE" w:rsidRDefault="003C657D" w:rsidP="00C74EE4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Pr="006D7BEE">
              <w:t>1.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="0094686F" w:rsidRPr="006D7BEE">
              <w:t>познавательной</w:t>
            </w:r>
            <w:r w:rsidR="00A85D97">
              <w:t xml:space="preserve"> </w:t>
            </w:r>
            <w:r w:rsidR="0094686F"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="003F575B" w:rsidRPr="006D7BEE">
              <w:t>по</w:t>
            </w:r>
            <w:r w:rsidR="00A85D97">
              <w:t xml:space="preserve"> </w:t>
            </w:r>
            <w:r w:rsidR="003F575B" w:rsidRPr="006D7BEE">
              <w:t>методике</w:t>
            </w:r>
            <w:r w:rsidR="00A85D97">
              <w:t xml:space="preserve"> </w:t>
            </w:r>
            <w:r w:rsidR="003F575B" w:rsidRPr="006D7BEE">
              <w:t>И.А.</w:t>
            </w:r>
            <w:r w:rsidR="00A85D97">
              <w:t xml:space="preserve"> </w:t>
            </w:r>
            <w:r w:rsidR="003F575B" w:rsidRPr="006D7BEE">
              <w:t>Петровой</w:t>
            </w:r>
            <w:r w:rsidR="00A85D97"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7E7CD9">
              <w:t>2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>
              <w:t>3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lastRenderedPageBreak/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241336" w:rsidRDefault="00241336" w:rsidP="00241336">
      <w:pPr>
        <w:rPr>
          <w:bCs/>
          <w:color w:val="222222"/>
        </w:rPr>
      </w:pPr>
      <w:r>
        <w:lastRenderedPageBreak/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241336" w:rsidRDefault="00241336" w:rsidP="00241336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>
        <w:t>4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ИПиП)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r w:rsidR="00D24F95" w:rsidRPr="009B442A">
        <w:t>Реан</w:t>
      </w:r>
      <w:r w:rsidR="00A85D97">
        <w:t xml:space="preserve"> </w:t>
      </w:r>
      <w:r w:rsidR="00D24F95" w:rsidRPr="009B442A">
        <w:t>и</w:t>
      </w:r>
      <w:r w:rsidR="00A85D97">
        <w:t xml:space="preserve"> </w:t>
      </w:r>
      <w:r w:rsidR="00D24F95" w:rsidRPr="009B442A">
        <w:t>В.А.Якунина</w:t>
      </w:r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753660" w:rsidRPr="00740140" w:rsidRDefault="00753660" w:rsidP="00163C3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9B442A" w:rsidRPr="00740140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r w:rsidR="00163C35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BF3C8B" w:rsidRPr="00740140" w:rsidRDefault="00BF3C8B" w:rsidP="00B075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367665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2F26B8" w:rsidRPr="00740140" w:rsidRDefault="002F26B8" w:rsidP="00F8303A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р</w:t>
            </w:r>
            <w:r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7" w:name="_Toc29709921"/>
      <w:r>
        <w:lastRenderedPageBreak/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7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BB4D7B">
        <w:rPr>
          <w:szCs w:val="28"/>
        </w:rPr>
        <w:t>учитывание</w:t>
      </w:r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r w:rsidRPr="00832AB8">
        <w:t>ВО</w:t>
      </w:r>
      <w:r w:rsidR="00A85D97">
        <w:t xml:space="preserve"> </w:t>
      </w:r>
      <w:r w:rsidRPr="00832AB8">
        <w:t>по</w:t>
      </w:r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r w:rsidRPr="00832AB8">
        <w:t>бакалавриата).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ИПиП</w:t>
      </w:r>
      <w:r w:rsidR="00A85D97">
        <w:t xml:space="preserve"> </w:t>
      </w:r>
      <w:r w:rsidRPr="00832AB8">
        <w:t>ТюмГУ</w:t>
      </w:r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(ОК-8);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(ОК-9);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lastRenderedPageBreak/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(ОПК-1);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(ОПК-4);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Office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Word)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автоподбор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Word)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SmartArt,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Word)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автоподбор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lastRenderedPageBreak/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Excel)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(PowerPoint)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«Net-школа»,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Office,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Internet,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«Net-школа»).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информационно-деятельностных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Office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Office: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Word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Excel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Word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Excel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Word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Excel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PowerPoint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PowerPoint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PowerPoint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lastRenderedPageBreak/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ком-понентов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ВЭБ-ресурсы,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r w:rsidR="00897752" w:rsidRPr="00615305">
        <w:t>к</w:t>
      </w:r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r>
        <w:t>УМК</w:t>
      </w:r>
      <w:r w:rsidR="00A85D97">
        <w:t xml:space="preserve"> </w:t>
      </w:r>
      <w:r>
        <w:t>и</w:t>
      </w:r>
      <w:r w:rsidR="00A85D97">
        <w:t xml:space="preserve"> </w:t>
      </w:r>
      <w:r>
        <w:t>ИБЦ:</w:t>
      </w:r>
    </w:p>
    <w:p w:rsidR="00897752" w:rsidRDefault="00897752" w:rsidP="00897752">
      <w:r>
        <w:t>ЭБС</w:t>
      </w:r>
      <w:r w:rsidR="00A85D97">
        <w:t xml:space="preserve"> </w:t>
      </w:r>
      <w:r>
        <w:t>«BOOK.ru»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«КноРус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«ЮРАЙТ»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r>
        <w:t>ЮРАЙТ»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«Айбукс»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«Айбукс»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«ZNANIUM»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«ЗНАНИУМ»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r>
        <w:t>онлайн»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«IPRbooks»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«БиблиоРоссика»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«Библиороссика»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lastRenderedPageBreak/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УМК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ИБЦ</w:t>
      </w:r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r>
        <w:t>ТюмГУ</w:t>
      </w:r>
      <w:r w:rsidR="00A85D97">
        <w:rPr>
          <w:lang w:val="en-US"/>
        </w:rPr>
        <w:t xml:space="preserve"> </w:t>
      </w:r>
      <w:hyperlink r:id="rId20" w:history="1"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1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2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utmn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ru</w:t>
        </w:r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r w:rsidR="00897752">
        <w:t>онлайн-лекций,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r w:rsidR="00897752">
        <w:t>вебинаров.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B9578F" w:rsidRDefault="00897752" w:rsidP="00897752">
      <w:r>
        <w:rPr>
          <w:lang w:val="en-US"/>
        </w:rPr>
        <w:t>E</w:t>
      </w:r>
      <w:r w:rsidRPr="00B9578F">
        <w:t>-</w:t>
      </w:r>
      <w:r>
        <w:rPr>
          <w:lang w:val="en-US"/>
        </w:rPr>
        <w:t>learning</w:t>
      </w:r>
      <w:r w:rsidR="00A85D97" w:rsidRPr="00B9578F">
        <w:t xml:space="preserve"> </w:t>
      </w:r>
      <w:r>
        <w:t>ТюмГУ</w:t>
      </w:r>
      <w:r w:rsidR="00A85D97" w:rsidRPr="00B9578F">
        <w:t xml:space="preserve"> </w:t>
      </w:r>
      <w:hyperlink r:id="rId23" w:history="1">
        <w:r w:rsidRPr="00687E97">
          <w:rPr>
            <w:rStyle w:val="af"/>
            <w:lang w:val="en-US"/>
          </w:rPr>
          <w:t>https</w:t>
        </w:r>
        <w:r w:rsidRPr="00B9578F">
          <w:rPr>
            <w:rStyle w:val="af"/>
          </w:rPr>
          <w:t>://</w:t>
        </w:r>
        <w:r w:rsidRPr="00687E97">
          <w:rPr>
            <w:rStyle w:val="af"/>
            <w:lang w:val="en-US"/>
          </w:rPr>
          <w:t>elearning</w:t>
        </w:r>
        <w:r w:rsidRPr="00B9578F">
          <w:rPr>
            <w:rStyle w:val="af"/>
          </w:rPr>
          <w:t>.</w:t>
        </w:r>
        <w:r w:rsidRPr="00687E97">
          <w:rPr>
            <w:rStyle w:val="af"/>
            <w:lang w:val="en-US"/>
          </w:rPr>
          <w:t>utmn</w:t>
        </w:r>
        <w:r w:rsidRPr="00B9578F">
          <w:rPr>
            <w:rStyle w:val="af"/>
          </w:rPr>
          <w:t>.</w:t>
        </w:r>
        <w:r w:rsidRPr="00687E97">
          <w:rPr>
            <w:rStyle w:val="af"/>
            <w:lang w:val="en-US"/>
          </w:rPr>
          <w:t>ru</w:t>
        </w:r>
        <w:r w:rsidRPr="00B9578F">
          <w:rPr>
            <w:rStyle w:val="af"/>
          </w:rPr>
          <w:t>/</w:t>
        </w:r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4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5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utmn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ru</w:t>
        </w:r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r w:rsidRPr="00C243CA">
        <w:t>ИНТУИТ</w:t>
      </w:r>
      <w:r w:rsidR="00A85D97">
        <w:t xml:space="preserve"> </w:t>
      </w:r>
      <w:hyperlink r:id="rId26" w:history="1">
        <w:r w:rsidRPr="00C16B60">
          <w:rPr>
            <w:rStyle w:val="af"/>
          </w:rPr>
          <w:t>http://www.intuit.ru/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7" w:history="1">
        <w:r w:rsidRPr="00687E97">
          <w:rPr>
            <w:rStyle w:val="af"/>
            <w:lang w:val="en-US"/>
          </w:rPr>
          <w:t>https://moodle.org/</w:t>
        </w:r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8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utmn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antiplagiat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ru</w:t>
        </w:r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8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8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042AC3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8</w:t>
      </w:r>
      <w:r w:rsidR="00042AC3"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76190">
              <w:t>8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lastRenderedPageBreak/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9.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35E2C">
              <w:t>9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10.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E74CB4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lastRenderedPageBreak/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11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042AC3" w:rsidRDefault="00042AC3" w:rsidP="00042AC3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 w:rsidR="004C230E">
        <w:t>11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042AC3">
      <w:pPr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042AC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="00F47EE1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1A124C">
        <w:rPr>
          <w:bCs/>
        </w:rPr>
        <w:t>12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042AC3" w:rsidRPr="00740140" w:rsidRDefault="00042AC3" w:rsidP="00DB354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12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13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B962C8" w:rsidRPr="00740140" w:rsidRDefault="00B962C8" w:rsidP="00B962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lastRenderedPageBreak/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60586">
        <w:rPr>
          <w:bCs/>
        </w:rPr>
        <w:t>14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B60586" w:rsidRPr="00740140" w:rsidRDefault="00B60586" w:rsidP="00054DF1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60586" w:rsidRDefault="00B60586" w:rsidP="00042AC3">
      <w:pPr>
        <w:rPr>
          <w:bCs/>
        </w:rPr>
      </w:pPr>
    </w:p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9" w:name="_Toc29709923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9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r w:rsidRPr="009252F3">
        <w:rPr>
          <w:bCs/>
        </w:rPr>
        <w:t>высоктй</w:t>
      </w:r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0" w:name="_Toc29709924"/>
      <w:r w:rsidRPr="00E973C4">
        <w:lastRenderedPageBreak/>
        <w:t>ЗАКЛЮЧЕНИЕ</w:t>
      </w:r>
      <w:bookmarkEnd w:id="20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адекватного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1" w:name="_Toc29709925"/>
      <w:r w:rsidRPr="00E11F75">
        <w:lastRenderedPageBreak/>
        <w:t>БИБЛИОГРАФИЧЕСКИЙ</w:t>
      </w:r>
      <w:r w:rsidR="00A85D97">
        <w:t xml:space="preserve"> </w:t>
      </w:r>
      <w:r w:rsidRPr="00E11F75">
        <w:t>СПИСОК</w:t>
      </w:r>
      <w:bookmarkEnd w:id="21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273–ФЭ</w:t>
      </w:r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r w:rsidRPr="008F3E2D">
        <w:rPr>
          <w:lang w:val="en-US"/>
        </w:rPr>
        <w:t>ru</w:t>
      </w:r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r w:rsidRPr="008F3E2D">
        <w:t>_140174/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N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http://www.consultant.ru/cons/cgi/online.cgi?req=doc&amp;base=LAW&amp;n=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203805&amp;fld=134&amp;dst=1000000001,0&amp;rnd=0.8192575365382782#0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N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http://base.garant.ru/197127/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бакалавриата)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http://www.consultant.ru/document/cons_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doc_LAW_192459/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Айсмонтас</w:t>
      </w:r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Айсмонтас.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МОСУ</w:t>
      </w:r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r w:rsidRPr="0033752C">
        <w:t>дис.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r w:rsidRPr="0033752C">
        <w:t>пед.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r w:rsidRPr="000238B7">
        <w:t>виртуальных</w:t>
      </w:r>
      <w:r w:rsidR="00A85D97">
        <w:t xml:space="preserve"> </w:t>
      </w:r>
      <w:r w:rsidRPr="000238B7">
        <w:t>образовательных</w:t>
      </w:r>
      <w:r w:rsidR="00A85D97">
        <w:t xml:space="preserve"> </w:t>
      </w:r>
      <w:r w:rsidRPr="000238B7">
        <w:t>квестов</w:t>
      </w:r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С.354‒360.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lastRenderedPageBreak/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r w:rsidRPr="00645C23">
        <w:t>Высш.школа,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Ахияров</w:t>
      </w:r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r>
        <w:t>Ахияров,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r w:rsidRPr="0039333D">
        <w:t>гос.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r w:rsidRPr="0039333D">
        <w:t>с.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Батдалова</w:t>
      </w:r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 w:rsidRPr="00705CD5">
        <w:t>дис.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r w:rsidRPr="00705CD5">
        <w:t>пед.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r w:rsidRPr="00705CD5">
        <w:t>Батдалова.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r w:rsidRPr="00705CD5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СПб.:</w:t>
      </w:r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r w:rsidRPr="0033752C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r w:rsidRPr="0033752C">
        <w:t>естественно-научных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r w:rsidRPr="00BC6914">
        <w:t>Течиева</w:t>
      </w:r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Nauka–rastudent.ru.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No.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URL:</w:t>
      </w:r>
      <w:r w:rsidR="00A85D97">
        <w:t xml:space="preserve"> </w:t>
      </w:r>
      <w:r w:rsidRPr="00BC6914">
        <w:t>http://naukarastudent.ru/23/3060/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r w:rsidRPr="0033752C">
        <w:t>Татур</w:t>
      </w:r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Татур</w:t>
      </w:r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Болотов</w:t>
      </w:r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Компетентностная</w:t>
      </w:r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С.8‒14.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Бондаревский</w:t>
      </w:r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Бондаревский.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r w:rsidRPr="00BC691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 w:rsidRPr="00B9578F"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С.19‒22.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95A94">
        <w:t>Варнавский</w:t>
      </w:r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С.8</w:t>
      </w:r>
      <w:r>
        <w:t>‒</w:t>
      </w:r>
      <w:r w:rsidRPr="00E95A94">
        <w:t>11.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C3416">
        <w:t>Веберг</w:t>
      </w:r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r>
        <w:t>Веберг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r w:rsidRPr="002C3416">
        <w:t>с.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r w:rsidRPr="00FE7620">
        <w:t>с.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r w:rsidRPr="000469ED">
        <w:t>польского</w:t>
      </w:r>
      <w:r w:rsidR="00A85D97">
        <w:t xml:space="preserve"> </w:t>
      </w:r>
      <w:r w:rsidRPr="000469ED">
        <w:t>С.В.</w:t>
      </w:r>
      <w:r w:rsidR="00A85D97">
        <w:t xml:space="preserve"> </w:t>
      </w:r>
      <w:r w:rsidRPr="000469ED">
        <w:t>Янанис.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Вяткин</w:t>
      </w:r>
      <w:r w:rsidR="00A85D97">
        <w:t xml:space="preserve"> </w:t>
      </w:r>
      <w:r w:rsidRPr="000469ED">
        <w:t>Л.Г.,</w:t>
      </w:r>
      <w:r w:rsidR="00A85D97">
        <w:t xml:space="preserve"> </w:t>
      </w:r>
      <w:r w:rsidRPr="000469ED">
        <w:t>Железовская</w:t>
      </w:r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С.61‒64.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lastRenderedPageBreak/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С.14‒16.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Гершунский</w:t>
      </w:r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Гершунский.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r w:rsidRPr="00437924">
        <w:t>субъектности</w:t>
      </w:r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r w:rsidRPr="00437924">
        <w:t>дис.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r w:rsidRPr="00437924">
        <w:t>пед.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t>Горностаева</w:t>
      </w:r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N</w:t>
      </w:r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514DD0">
        <w:t>Границкая</w:t>
      </w:r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r>
        <w:t>Границкая</w:t>
      </w:r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r w:rsidRPr="00514DD0">
        <w:t>175с.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r w:rsidR="00460FB6" w:rsidRPr="006857E6">
        <w:t>Ляудис</w:t>
      </w:r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r w:rsidR="00460FB6">
        <w:t>Ляудис</w:t>
      </w:r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144с.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r w:rsidRPr="000238B7">
        <w:t>обучающихся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С.34‒40.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rStyle w:val="hl"/>
        </w:rPr>
        <w:t>Елканов</w:t>
      </w:r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Елканов.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r w:rsidRPr="00F314C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rStyle w:val="hl"/>
        </w:rPr>
        <w:t>Загвязинский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Загвязинский,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Атаханов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r w:rsidRPr="00F314CD">
        <w:t>с.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r w:rsidRPr="00DA06FF">
        <w:t>с.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lastRenderedPageBreak/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r w:rsidRPr="00DA06FF">
        <w:t>И.В.Роберт,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Кабанкова</w:t>
      </w:r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Коджаспирова</w:t>
      </w:r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r w:rsidRPr="00DA06FF">
        <w:t>Коджаспиров</w:t>
      </w:r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r w:rsidRPr="00DA06FF">
        <w:t>высш.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сред.</w:t>
      </w:r>
      <w:r w:rsidR="00A85D97">
        <w:t xml:space="preserve"> </w:t>
      </w:r>
      <w:r w:rsidRPr="00DA06FF">
        <w:t>пед.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r w:rsidRPr="00DA06FF">
        <w:t>Коджаспирова,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BC6914">
        <w:t>Коджаспиров.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r w:rsidRPr="00BC6914">
        <w:t>с.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461F">
        <w:rPr>
          <w:rFonts w:eastAsia="Times New Roman"/>
        </w:rPr>
        <w:t>Коджаспирова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Коджаспирова</w:t>
      </w:r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N</w:t>
      </w:r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Кузовлев</w:t>
      </w:r>
      <w:r w:rsidR="00A85D97">
        <w:t xml:space="preserve"> </w:t>
      </w:r>
      <w:r w:rsidRPr="00067728">
        <w:t>В.П.,</w:t>
      </w:r>
      <w:r w:rsidR="00A85D97">
        <w:t xml:space="preserve"> </w:t>
      </w:r>
      <w:r w:rsidRPr="00067728">
        <w:t>Щеулин</w:t>
      </w:r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r w:rsidRPr="00067728">
        <w:t>Кузовлев,</w:t>
      </w:r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Щеулин.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r w:rsidRPr="00067728">
        <w:t>ЕГПИ,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A1314">
        <w:rPr>
          <w:rStyle w:val="hl"/>
        </w:rPr>
        <w:t>Купавцев</w:t>
      </w:r>
      <w:r w:rsidR="00A85D97">
        <w:t xml:space="preserve"> </w:t>
      </w:r>
      <w:r w:rsidRPr="00FA1314">
        <w:t>А.В.</w:t>
      </w:r>
      <w:r w:rsidR="00A85D97">
        <w:t xml:space="preserve"> </w:t>
      </w:r>
      <w:r w:rsidRPr="00FA1314">
        <w:t>Деятельностный</w:t>
      </w:r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Кутняя</w:t>
      </w:r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СПб.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180с.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lastRenderedPageBreak/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r w:rsidRPr="00437924">
        <w:t>дис.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r w:rsidRPr="00437924">
        <w:t>пед.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9274B">
        <w:t>Магойченков</w:t>
      </w:r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r>
        <w:t>Магойченков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r w:rsidRPr="00426D9D">
        <w:t>Мининского</w:t>
      </w:r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Надеева</w:t>
      </w:r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r>
        <w:t>Надеева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r>
        <w:t>Информационо-обучающая</w:t>
      </w:r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r>
        <w:t>интернет-среде</w:t>
      </w:r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r>
        <w:t>с.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учебн</w:t>
      </w:r>
      <w:r w:rsidRPr="00E23823">
        <w:t>.</w:t>
      </w:r>
      <w:r w:rsidR="00A85D97">
        <w:t xml:space="preserve"> </w:t>
      </w:r>
      <w:r w:rsidRPr="00E23823">
        <w:t>пособ.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r w:rsidRPr="00E23823">
        <w:t>высш.пед</w:t>
      </w:r>
      <w:r w:rsidR="00A85D97">
        <w:t xml:space="preserve"> </w:t>
      </w:r>
      <w:r w:rsidRPr="00E23823">
        <w:t>уч.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Гонеев</w:t>
      </w:r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Сластенина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r w:rsidRPr="00E23823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r w:rsidRPr="00947A14">
        <w:t>Бим–</w:t>
      </w:r>
      <w:r w:rsidRPr="00726C68">
        <w:t>Бад.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r w:rsidRPr="00726C68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lastRenderedPageBreak/>
        <w:t>Петерсон</w:t>
      </w:r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r>
        <w:t>Кубышева</w:t>
      </w:r>
      <w:r w:rsidR="00A85D97">
        <w:t xml:space="preserve"> </w:t>
      </w:r>
      <w:r>
        <w:t>М.А.,</w:t>
      </w:r>
      <w:r w:rsidR="00A85D97">
        <w:t xml:space="preserve"> </w:t>
      </w:r>
      <w:r>
        <w:t>Петерсон</w:t>
      </w:r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r>
        <w:t>Петерсон,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r>
        <w:t>Кубышева,</w:t>
      </w:r>
      <w:r w:rsidR="00A85D97">
        <w:t xml:space="preserve"> </w:t>
      </w:r>
      <w:r>
        <w:t>В.А.</w:t>
      </w:r>
      <w:r w:rsidR="00A85D97">
        <w:t xml:space="preserve"> </w:t>
      </w:r>
      <w:r>
        <w:t>Петерсон</w:t>
      </w:r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r w:rsidRPr="00726C6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r w:rsidRPr="00F42B7D">
        <w:t>дис.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r w:rsidRPr="00F42B7D">
        <w:t>пед.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r w:rsidRPr="00F42B7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r>
        <w:t>С.27‒33.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r w:rsidRPr="00957DEF">
        <w:t>С.280‒283.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Полат</w:t>
      </w:r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повыш.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квалиф.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Полат,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Бухаркина,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Полат.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rFonts w:eastAsia="Times New Roman"/>
        </w:rPr>
        <w:t>Полат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Полат,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Бухаркина.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r w:rsidRPr="00A04E67">
        <w:t>Мининского</w:t>
      </w:r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С.14</w:t>
      </w:r>
      <w:r>
        <w:t>‒17.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Пустовойтов</w:t>
      </w:r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lastRenderedPageBreak/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r>
        <w:t>Пустовойтов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Пятибратова</w:t>
      </w:r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 w:rsidRPr="00B9578F"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r>
        <w:t>С.68‒72.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r w:rsidRPr="0061285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Садова</w:t>
      </w:r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r>
        <w:t>Садова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Хачирова</w:t>
      </w:r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r w:rsidRPr="008F3E2D">
        <w:t>дис.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r w:rsidRPr="008F3E2D">
        <w:t>пед.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Хачирова.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8F3E2D">
        <w:t>Карачаевск,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r w:rsidRPr="00C5596B">
        <w:t>Компетентностный</w:t>
      </w:r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r>
        <w:t>Хуторской</w:t>
      </w:r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Эйдос,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Цандеков</w:t>
      </w:r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rPr>
          <w:rStyle w:val="hl"/>
        </w:rPr>
        <w:lastRenderedPageBreak/>
        <w:t>Чернилевский</w:t>
      </w:r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Чернилевский.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ЮНИТИ-ДАНА,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r w:rsidRPr="00F42B7D">
        <w:t>дис.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r w:rsidRPr="00F42B7D">
        <w:t>пед.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r w:rsidRPr="00F42B7D">
        <w:t>с.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t>Шляпина</w:t>
      </w:r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Шляпина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с.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2" w:name="_Toc29709926"/>
      <w:r w:rsidR="00F06AAF" w:rsidRPr="00E11F75">
        <w:lastRenderedPageBreak/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2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3" w:name="_Toc29709927"/>
      <w:r w:rsidRPr="00E11F75">
        <w:lastRenderedPageBreak/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r>
        <w:t>РЕАН,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3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(А.А.РЕАН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В.А.Якунина.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В.Г.Леонтьевым,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lastRenderedPageBreak/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саморегуляции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6"/>
      <w:headerReference w:type="first" r:id="rId37"/>
      <w:footerReference w:type="first" r:id="rId3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25" w:rsidRDefault="00DE4425">
      <w:pPr>
        <w:spacing w:line="240" w:lineRule="auto"/>
      </w:pPr>
      <w:r>
        <w:separator/>
      </w:r>
    </w:p>
  </w:endnote>
  <w:endnote w:type="continuationSeparator" w:id="0">
    <w:p w:rsidR="00DE4425" w:rsidRDefault="00DE4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25" w:rsidRPr="00EB37B7" w:rsidRDefault="00DE4425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EndPr/>
    <w:sdtContent>
      <w:p w:rsidR="00DE4425" w:rsidRDefault="00DE4425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E4425" w:rsidRDefault="00DE44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25" w:rsidRDefault="00DE4425">
      <w:pPr>
        <w:spacing w:line="240" w:lineRule="auto"/>
      </w:pPr>
      <w:r>
        <w:separator/>
      </w:r>
    </w:p>
  </w:footnote>
  <w:footnote w:type="continuationSeparator" w:id="0">
    <w:p w:rsidR="00DE4425" w:rsidRDefault="00DE4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25" w:rsidRPr="00FE680E" w:rsidRDefault="00DE4425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0981"/>
      <w:docPartObj>
        <w:docPartGallery w:val="Page Numbers (Top of Page)"/>
        <w:docPartUnique/>
      </w:docPartObj>
    </w:sdtPr>
    <w:sdtEndPr/>
    <w:sdtContent>
      <w:p w:rsidR="00DE4425" w:rsidRDefault="00DE4425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4425" w:rsidRDefault="00DE4425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EndPr/>
    <w:sdtContent>
      <w:p w:rsidR="00DE4425" w:rsidRPr="00C77007" w:rsidRDefault="00DE4425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D5380A">
          <w:rPr>
            <w:noProof/>
            <w:sz w:val="20"/>
            <w:szCs w:val="20"/>
          </w:rPr>
          <w:t>25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25" w:rsidRDefault="00DE442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7F09"/>
    <w:rsid w:val="000707D8"/>
    <w:rsid w:val="000718EA"/>
    <w:rsid w:val="00072E64"/>
    <w:rsid w:val="00072FD9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4A56"/>
    <w:rsid w:val="000E5FD7"/>
    <w:rsid w:val="000E6192"/>
    <w:rsid w:val="000E766E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5C2"/>
    <w:rsid w:val="00135E2C"/>
    <w:rsid w:val="001376C9"/>
    <w:rsid w:val="00144F9D"/>
    <w:rsid w:val="00145DD3"/>
    <w:rsid w:val="00152E65"/>
    <w:rsid w:val="00153834"/>
    <w:rsid w:val="00162E1D"/>
    <w:rsid w:val="00163C35"/>
    <w:rsid w:val="00166919"/>
    <w:rsid w:val="0016785E"/>
    <w:rsid w:val="00170413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7D1"/>
    <w:rsid w:val="002F2C68"/>
    <w:rsid w:val="002F75D0"/>
    <w:rsid w:val="00300CCD"/>
    <w:rsid w:val="0030377A"/>
    <w:rsid w:val="00304673"/>
    <w:rsid w:val="00304C3A"/>
    <w:rsid w:val="00305330"/>
    <w:rsid w:val="00306815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44D4"/>
    <w:rsid w:val="00375E05"/>
    <w:rsid w:val="00377C0B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4BB0"/>
    <w:rsid w:val="003F2584"/>
    <w:rsid w:val="003F259F"/>
    <w:rsid w:val="003F575B"/>
    <w:rsid w:val="003F67F2"/>
    <w:rsid w:val="003F6F0C"/>
    <w:rsid w:val="00401688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423B8"/>
    <w:rsid w:val="0044297F"/>
    <w:rsid w:val="00451672"/>
    <w:rsid w:val="00451FF0"/>
    <w:rsid w:val="00456F64"/>
    <w:rsid w:val="00457350"/>
    <w:rsid w:val="00457EE4"/>
    <w:rsid w:val="00460FB6"/>
    <w:rsid w:val="0046165F"/>
    <w:rsid w:val="00461C7A"/>
    <w:rsid w:val="004622E8"/>
    <w:rsid w:val="00462488"/>
    <w:rsid w:val="0046460E"/>
    <w:rsid w:val="00465DFC"/>
    <w:rsid w:val="00472541"/>
    <w:rsid w:val="00473C6D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5000DC"/>
    <w:rsid w:val="005009BC"/>
    <w:rsid w:val="005011BA"/>
    <w:rsid w:val="00505CA7"/>
    <w:rsid w:val="00510027"/>
    <w:rsid w:val="005100E5"/>
    <w:rsid w:val="00510733"/>
    <w:rsid w:val="0051121C"/>
    <w:rsid w:val="0051553D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50B99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9470E"/>
    <w:rsid w:val="00596E3A"/>
    <w:rsid w:val="005B0D5D"/>
    <w:rsid w:val="005B649E"/>
    <w:rsid w:val="005B7377"/>
    <w:rsid w:val="005B78E8"/>
    <w:rsid w:val="005C2DB2"/>
    <w:rsid w:val="005C538C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6926"/>
    <w:rsid w:val="0066703F"/>
    <w:rsid w:val="00670897"/>
    <w:rsid w:val="00672771"/>
    <w:rsid w:val="0067281E"/>
    <w:rsid w:val="00672E4C"/>
    <w:rsid w:val="0067338F"/>
    <w:rsid w:val="00674A03"/>
    <w:rsid w:val="0068030E"/>
    <w:rsid w:val="00681337"/>
    <w:rsid w:val="00683CFF"/>
    <w:rsid w:val="00685FA7"/>
    <w:rsid w:val="00686F2B"/>
    <w:rsid w:val="00687CC9"/>
    <w:rsid w:val="00691671"/>
    <w:rsid w:val="00691935"/>
    <w:rsid w:val="006944FF"/>
    <w:rsid w:val="00694AD2"/>
    <w:rsid w:val="006964C8"/>
    <w:rsid w:val="0069729B"/>
    <w:rsid w:val="006A0560"/>
    <w:rsid w:val="006A552D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39E4"/>
    <w:rsid w:val="008C5073"/>
    <w:rsid w:val="008D28A0"/>
    <w:rsid w:val="008D7C6A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5AB9"/>
    <w:rsid w:val="00915C40"/>
    <w:rsid w:val="0091642F"/>
    <w:rsid w:val="00922548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36977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8148A"/>
    <w:rsid w:val="00B829B5"/>
    <w:rsid w:val="00B83EB0"/>
    <w:rsid w:val="00B849A7"/>
    <w:rsid w:val="00B84A27"/>
    <w:rsid w:val="00B85068"/>
    <w:rsid w:val="00B87FC6"/>
    <w:rsid w:val="00B925ED"/>
    <w:rsid w:val="00B9578F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F3C8B"/>
    <w:rsid w:val="00BF5D2D"/>
    <w:rsid w:val="00BF7192"/>
    <w:rsid w:val="00C1011C"/>
    <w:rsid w:val="00C222BA"/>
    <w:rsid w:val="00C243CA"/>
    <w:rsid w:val="00C25C32"/>
    <w:rsid w:val="00C2785B"/>
    <w:rsid w:val="00C33569"/>
    <w:rsid w:val="00C35ECD"/>
    <w:rsid w:val="00C3781D"/>
    <w:rsid w:val="00C41C39"/>
    <w:rsid w:val="00C469AC"/>
    <w:rsid w:val="00C476AB"/>
    <w:rsid w:val="00C50CAA"/>
    <w:rsid w:val="00C55454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F2"/>
    <w:rsid w:val="00D457F8"/>
    <w:rsid w:val="00D4699A"/>
    <w:rsid w:val="00D47222"/>
    <w:rsid w:val="00D5380A"/>
    <w:rsid w:val="00D611DF"/>
    <w:rsid w:val="00D61B2B"/>
    <w:rsid w:val="00D67DC9"/>
    <w:rsid w:val="00D72D4B"/>
    <w:rsid w:val="00D74761"/>
    <w:rsid w:val="00D773C6"/>
    <w:rsid w:val="00D80A10"/>
    <w:rsid w:val="00D8606F"/>
    <w:rsid w:val="00D91DF5"/>
    <w:rsid w:val="00D92196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4425"/>
    <w:rsid w:val="00DE6E49"/>
    <w:rsid w:val="00DF035D"/>
    <w:rsid w:val="00DF2001"/>
    <w:rsid w:val="00DF323B"/>
    <w:rsid w:val="00DF4652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312A6"/>
    <w:rsid w:val="00F3350D"/>
    <w:rsid w:val="00F34218"/>
    <w:rsid w:val="00F35C28"/>
    <w:rsid w:val="00F37B4C"/>
    <w:rsid w:val="00F404A1"/>
    <w:rsid w:val="00F410C5"/>
    <w:rsid w:val="00F42D00"/>
    <w:rsid w:val="00F47893"/>
    <w:rsid w:val="00F47EE1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724"/>
    <w:rsid w:val="00F92D96"/>
    <w:rsid w:val="00F93B3D"/>
    <w:rsid w:val="00F95185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60697F-B919-424E-982F-62B4084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caps/>
      <w:color w:val="000000"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hyperlink" Target="http://www.intuit.ru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ru/intl/ru/forms/about/" TargetMode="External"/><Relationship Id="rId34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hyperlink" Target="http://test.utmn.ru/" TargetMode="External"/><Relationship Id="rId33" Type="http://schemas.openxmlformats.org/officeDocument/2006/relationships/chart" Target="charts/chart13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elearning.utmn.ru/" TargetMode="Externa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gutv.ru/sgatv.htm" TargetMode="External"/><Relationship Id="rId24" Type="http://schemas.openxmlformats.org/officeDocument/2006/relationships/hyperlink" Target="https://www.google.ru/intl/ru/forms/about/" TargetMode="External"/><Relationship Id="rId32" Type="http://schemas.openxmlformats.org/officeDocument/2006/relationships/chart" Target="charts/chart1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elearning.utmn.ru/" TargetMode="External"/><Relationship Id="rId28" Type="http://schemas.openxmlformats.org/officeDocument/2006/relationships/hyperlink" Target="http://utmn.antiplagiat.ru" TargetMode="External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chart" Target="charts/chart8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hyperlink" Target="http://test.utmn.ru/" TargetMode="External"/><Relationship Id="rId27" Type="http://schemas.openxmlformats.org/officeDocument/2006/relationships/hyperlink" Target="https://moodle.org/" TargetMode="External"/><Relationship Id="rId30" Type="http://schemas.openxmlformats.org/officeDocument/2006/relationships/chart" Target="charts/chart10.xml"/><Relationship Id="rId35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355272"/>
        <c:axId val="144357624"/>
      </c:barChart>
      <c:catAx>
        <c:axId val="1443552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4357624"/>
        <c:crosses val="autoZero"/>
        <c:auto val="1"/>
        <c:lblAlgn val="ctr"/>
        <c:lblOffset val="100"/>
        <c:noMultiLvlLbl val="0"/>
      </c:catAx>
      <c:valAx>
        <c:axId val="144357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3552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361544"/>
        <c:axId val="144355664"/>
      </c:barChart>
      <c:catAx>
        <c:axId val="14436154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4355664"/>
        <c:crosses val="autoZero"/>
        <c:auto val="1"/>
        <c:lblAlgn val="ctr"/>
        <c:lblOffset val="100"/>
        <c:noMultiLvlLbl val="0"/>
      </c:catAx>
      <c:valAx>
        <c:axId val="1443556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43615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356448"/>
        <c:axId val="144359192"/>
      </c:barChart>
      <c:catAx>
        <c:axId val="144356448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4359192"/>
        <c:crosses val="autoZero"/>
        <c:auto val="1"/>
        <c:lblAlgn val="ctr"/>
        <c:lblOffset val="100"/>
        <c:noMultiLvlLbl val="0"/>
      </c:catAx>
      <c:valAx>
        <c:axId val="1443591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43564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357232"/>
        <c:axId val="144359584"/>
      </c:barChart>
      <c:catAx>
        <c:axId val="14435723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4359584"/>
        <c:crosses val="autoZero"/>
        <c:auto val="1"/>
        <c:lblAlgn val="ctr"/>
        <c:lblOffset val="100"/>
        <c:noMultiLvlLbl val="0"/>
      </c:catAx>
      <c:valAx>
        <c:axId val="1443595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43572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862200"/>
        <c:axId val="142857496"/>
      </c:barChart>
      <c:catAx>
        <c:axId val="1428622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2857496"/>
        <c:crosses val="autoZero"/>
        <c:auto val="1"/>
        <c:lblAlgn val="ctr"/>
        <c:lblOffset val="100"/>
        <c:noMultiLvlLbl val="0"/>
      </c:catAx>
      <c:valAx>
        <c:axId val="142857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8622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861416"/>
        <c:axId val="142855928"/>
      </c:barChart>
      <c:catAx>
        <c:axId val="142861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2855928"/>
        <c:crosses val="autoZero"/>
        <c:auto val="1"/>
        <c:lblAlgn val="ctr"/>
        <c:lblOffset val="100"/>
        <c:noMultiLvlLbl val="0"/>
      </c:catAx>
      <c:valAx>
        <c:axId val="14285592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2861416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857104"/>
        <c:axId val="142858280"/>
      </c:barChart>
      <c:catAx>
        <c:axId val="14285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2858280"/>
        <c:crosses val="autoZero"/>
        <c:auto val="1"/>
        <c:lblAlgn val="ctr"/>
        <c:lblOffset val="100"/>
        <c:noMultiLvlLbl val="0"/>
      </c:catAx>
      <c:valAx>
        <c:axId val="14285828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285710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000344"/>
        <c:axId val="141999952"/>
      </c:barChart>
      <c:catAx>
        <c:axId val="14200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1999952"/>
        <c:crosses val="autoZero"/>
        <c:auto val="1"/>
        <c:lblAlgn val="ctr"/>
        <c:lblOffset val="100"/>
        <c:noMultiLvlLbl val="0"/>
      </c:catAx>
      <c:valAx>
        <c:axId val="14199995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200034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998776"/>
        <c:axId val="144361936"/>
      </c:radarChart>
      <c:catAx>
        <c:axId val="1419987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4361936"/>
        <c:crosses val="autoZero"/>
        <c:auto val="1"/>
        <c:lblAlgn val="ctr"/>
        <c:lblOffset val="100"/>
        <c:noMultiLvlLbl val="0"/>
      </c:catAx>
      <c:valAx>
        <c:axId val="144361936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419987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CD1F4F81-6165-4E07-A4F9-DD270CEF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72</Pages>
  <Words>15941</Words>
  <Characters>90865</Characters>
  <Application>Microsoft Office Word</Application>
  <DocSecurity>0</DocSecurity>
  <Lines>757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10</cp:revision>
  <dcterms:created xsi:type="dcterms:W3CDTF">2020-01-14T07:24:00Z</dcterms:created>
  <dcterms:modified xsi:type="dcterms:W3CDTF">2020-01-14T11:25:00Z</dcterms:modified>
</cp:coreProperties>
</file>