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6E60" w14:textId="77777777" w:rsidR="00A62C24" w:rsidRPr="00A62C24" w:rsidRDefault="00A62C24" w:rsidP="00A62C24">
      <w:pPr>
        <w:keepNext/>
        <w:keepLines/>
        <w:spacing w:after="313"/>
        <w:ind w:left="302" w:right="258" w:hanging="10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  <w:lang w:eastAsia="ru-RU"/>
        </w:rPr>
      </w:pPr>
      <w:r w:rsidRPr="00A62C24">
        <w:rPr>
          <w:rFonts w:ascii="Times New Roman" w:eastAsia="Cambria" w:hAnsi="Times New Roman" w:cs="Times New Roman"/>
          <w:b/>
          <w:color w:val="000000"/>
          <w:sz w:val="28"/>
          <w:szCs w:val="28"/>
          <w:lang w:eastAsia="ru-RU"/>
        </w:rPr>
        <w:t xml:space="preserve">ПОСТРОЕНИЕ МОДЕЛИ ДЕЯТЕЛЬНОСТИ ПРЕДПРИЯТИЯ.  НОТАЦИИ «ПРОЦЕСС» И «ПРОЦЕДУРА» </w:t>
      </w:r>
    </w:p>
    <w:p w14:paraId="49E84EE3" w14:textId="77777777" w:rsidR="00A62C24" w:rsidRPr="00A62C24" w:rsidRDefault="00A62C24" w:rsidP="00A62C24">
      <w:pPr>
        <w:keepNext/>
        <w:keepLines/>
        <w:spacing w:after="69"/>
        <w:ind w:left="904" w:hanging="10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Цель работы </w:t>
      </w:r>
    </w:p>
    <w:p w14:paraId="70273799" w14:textId="77777777" w:rsidR="00A62C24" w:rsidRPr="00A62C24" w:rsidRDefault="00A62C24" w:rsidP="00A62C24">
      <w:pPr>
        <w:numPr>
          <w:ilvl w:val="0"/>
          <w:numId w:val="1"/>
        </w:numPr>
        <w:spacing w:after="5" w:line="368" w:lineRule="auto"/>
        <w:ind w:right="176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Знакомство с графическими нотациями формализации и описания бизнес-процессов «Процесс», «Процедура». </w:t>
      </w:r>
    </w:p>
    <w:p w14:paraId="2B8CE052" w14:textId="77777777" w:rsidR="00A62C24" w:rsidRPr="00A62C24" w:rsidRDefault="00A62C24" w:rsidP="00A62C24">
      <w:pPr>
        <w:numPr>
          <w:ilvl w:val="0"/>
          <w:numId w:val="1"/>
        </w:numPr>
        <w:spacing w:after="5" w:line="368" w:lineRule="auto"/>
        <w:ind w:right="176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Доработка функциональной модели бизнес-процессов выбранной предметной области в нотациях «Процесс» и «Процедура».  </w:t>
      </w:r>
    </w:p>
    <w:p w14:paraId="56866774" w14:textId="7A261B74" w:rsidR="00A62C24" w:rsidRPr="00A62C24" w:rsidRDefault="00A62C24" w:rsidP="00A62C24">
      <w:pPr>
        <w:spacing w:after="162"/>
        <w:ind w:left="908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r w:rsid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Построение модели происходит также в </w:t>
      </w:r>
      <w:r w:rsid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ru-RU"/>
        </w:rPr>
        <w:t>MS</w:t>
      </w:r>
      <w:r w:rsidR="00284053" w:rsidRP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r w:rsid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ru-RU"/>
        </w:rPr>
        <w:t>Visio</w:t>
      </w:r>
      <w:r w:rsidR="00284053" w:rsidRP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.</w:t>
      </w:r>
    </w:p>
    <w:p w14:paraId="7D3BB9C9" w14:textId="77777777" w:rsidR="00A62C24" w:rsidRPr="00A62C24" w:rsidRDefault="00A62C24" w:rsidP="00A62C24">
      <w:pPr>
        <w:keepNext/>
        <w:keepLines/>
        <w:spacing w:after="162"/>
        <w:ind w:left="904" w:hanging="1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Постановка задачи </w:t>
      </w:r>
    </w:p>
    <w:p w14:paraId="77533C64" w14:textId="77777777" w:rsidR="00A62C24" w:rsidRPr="00A62C24" w:rsidRDefault="00A62C24" w:rsidP="00A62C24">
      <w:pPr>
        <w:spacing w:after="5" w:line="368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Для заданной предметной области «Мебельная фабрика Восточная» (описание см. в лаб. работе № 1) построить бизнес-процессы в нотациях </w:t>
      </w:r>
      <w:r w:rsidRPr="00A62C2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«Процесс» и «Процедура»</w:t>
      </w:r>
      <w:r w:rsidRPr="00A62C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Pr="00A62C2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</w:p>
    <w:p w14:paraId="4F40C994" w14:textId="77777777" w:rsidR="00A62C24" w:rsidRPr="00A62C24" w:rsidRDefault="00A62C24" w:rsidP="00A62C24">
      <w:pPr>
        <w:keepNext/>
        <w:keepLines/>
        <w:spacing w:after="148"/>
        <w:ind w:left="690" w:hanging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Указания </w:t>
      </w:r>
    </w:p>
    <w:p w14:paraId="03821959" w14:textId="77777777" w:rsidR="00A62C24" w:rsidRPr="00A62C24" w:rsidRDefault="00A62C24" w:rsidP="00A62C24">
      <w:pPr>
        <w:spacing w:after="5" w:line="368" w:lineRule="auto"/>
        <w:ind w:left="-13" w:right="413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Нотации «Процесс» и «Процедура» используются для представления алгоритма (сценария) выполнения бизнес-процесса. Они позволяют задать причинно-следственные связи и временную последовательность выполнения действий процесса. Эти нотации поддерживают декомпозицию на подпроцессы, так же как и нотация IDEF0. </w:t>
      </w:r>
    </w:p>
    <w:p w14:paraId="311311FF" w14:textId="77777777" w:rsidR="00A62C24" w:rsidRPr="00A62C24" w:rsidRDefault="00A62C24" w:rsidP="00A62C24">
      <w:pPr>
        <w:spacing w:after="5" w:line="368" w:lineRule="auto"/>
        <w:ind w:left="-13" w:right="418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Различие между нотациями «Процесс» и «Процедура» состоит в том, что дополнительно к графическим элементам, применяемым в нотации «Процесс», в нотации «Процедура» используются дорожки (Swim Lanes), обозначающие исполнителей действий процесса. Это позволяет повысить наглядность диаграммы. </w:t>
      </w:r>
    </w:p>
    <w:p w14:paraId="43A632FC" w14:textId="77777777" w:rsidR="00A62C24" w:rsidRPr="00A62C24" w:rsidRDefault="00A62C24" w:rsidP="00A62C24">
      <w:pPr>
        <w:spacing w:after="5" w:line="368" w:lineRule="auto"/>
        <w:ind w:left="-13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Элементы графических нотаций «Процесс» и «Процедура» представлены в табл. 2.1. </w:t>
      </w:r>
    </w:p>
    <w:p w14:paraId="3743D1F7" w14:textId="77777777" w:rsidR="00D9387E" w:rsidRDefault="00D9387E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14:paraId="59FED519" w14:textId="6EB88143" w:rsidR="00A62C24" w:rsidRPr="00A62C24" w:rsidRDefault="00A62C24" w:rsidP="00D9387E">
      <w:pPr>
        <w:spacing w:after="0"/>
        <w:ind w:left="1803" w:right="4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Таблица 2.1 </w:t>
      </w:r>
      <w:r w:rsidRPr="00A62C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Назначение графических символов, используемых в нотациях «Процесс», «Процедура» </w:t>
      </w:r>
    </w:p>
    <w:tbl>
      <w:tblPr>
        <w:tblStyle w:val="TableGrid"/>
        <w:tblW w:w="9746" w:type="dxa"/>
        <w:tblInd w:w="-54" w:type="dxa"/>
        <w:tblCellMar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957"/>
        <w:gridCol w:w="2226"/>
        <w:gridCol w:w="2618"/>
        <w:gridCol w:w="3945"/>
      </w:tblGrid>
      <w:tr w:rsidR="00A62C24" w:rsidRPr="00A62C24" w14:paraId="320B13B0" w14:textId="77777777" w:rsidTr="00764266">
        <w:trPr>
          <w:trHeight w:val="6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FAF9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E299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CDA3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E00C" w14:textId="77777777" w:rsidR="00A62C24" w:rsidRPr="00A62C24" w:rsidRDefault="00A62C24" w:rsidP="00A62C24">
            <w:pPr>
              <w:ind w:left="971" w:right="9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Описание элемента </w:t>
            </w:r>
          </w:p>
        </w:tc>
      </w:tr>
      <w:tr w:rsidR="00A62C24" w:rsidRPr="00A62C24" w14:paraId="49F87B24" w14:textId="77777777" w:rsidTr="00764266">
        <w:trPr>
          <w:trHeight w:val="252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0CEB" w14:textId="77777777" w:rsidR="00A62C24" w:rsidRPr="00A62C24" w:rsidRDefault="00A62C24" w:rsidP="00A62C24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863C" w14:textId="77777777" w:rsidR="00A62C24" w:rsidRPr="00A62C24" w:rsidRDefault="00A62C24" w:rsidP="00A62C24">
            <w:pPr>
              <w:ind w:right="7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972B" w14:textId="77777777" w:rsidR="00A62C24" w:rsidRPr="00A62C24" w:rsidRDefault="00A62C24" w:rsidP="00A62C24">
            <w:pPr>
              <w:ind w:left="19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72FE50F" wp14:editId="23733A8E">
                  <wp:extent cx="1334074" cy="589360"/>
                  <wp:effectExtent l="0" t="0" r="0" b="0"/>
                  <wp:docPr id="1437" name="Picture 14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" name="Picture 14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74" cy="58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31B3" w14:textId="77777777" w:rsidR="00A62C24" w:rsidRPr="00A62C24" w:rsidRDefault="00A62C24" w:rsidP="00A62C24">
            <w:pPr>
              <w:ind w:left="12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Обозначается с помощью прямоугольного блока. Внутри блока помещается название действия. Временная последовательность выполнения действий задается расположением действий на диаграмме процесса в нотации «Процесс»/«Процедура» сверху вниз </w:t>
            </w:r>
          </w:p>
        </w:tc>
      </w:tr>
      <w:tr w:rsidR="00A62C24" w:rsidRPr="00A62C24" w14:paraId="539520E2" w14:textId="77777777" w:rsidTr="00764266">
        <w:trPr>
          <w:trHeight w:val="126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E91F" w14:textId="77777777" w:rsidR="00A62C24" w:rsidRPr="00A62C24" w:rsidRDefault="00A62C24" w:rsidP="00A62C24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A51" w14:textId="77777777" w:rsidR="00A62C24" w:rsidRPr="00A62C24" w:rsidRDefault="00A62C24" w:rsidP="00A62C24">
            <w:pPr>
              <w:ind w:right="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Решение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6061" w14:textId="77777777" w:rsidR="00A62C24" w:rsidRPr="00A62C24" w:rsidRDefault="00A62C24" w:rsidP="00A62C24">
            <w:pPr>
              <w:ind w:left="4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69A25B7" wp14:editId="32A5A5F0">
                  <wp:extent cx="1506725" cy="649426"/>
                  <wp:effectExtent l="0" t="0" r="0" b="0"/>
                  <wp:docPr id="1439" name="Picture 14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" name="Picture 14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725" cy="64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6C49" w14:textId="77777777" w:rsidR="00A62C24" w:rsidRPr="00A62C24" w:rsidRDefault="00A62C24" w:rsidP="00A62C24">
            <w:pPr>
              <w:ind w:left="12" w:right="7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Обозначает ветвление, после которого процесс может пойти по одному альтернативному направлению в зависимости от некоторого условия </w:t>
            </w:r>
          </w:p>
        </w:tc>
      </w:tr>
      <w:tr w:rsidR="00A62C24" w:rsidRPr="00A62C24" w14:paraId="7AEEED0E" w14:textId="77777777" w:rsidTr="00764266">
        <w:trPr>
          <w:trHeight w:val="362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5B51" w14:textId="77777777" w:rsidR="00A62C24" w:rsidRPr="00A62C24" w:rsidRDefault="00A62C24" w:rsidP="00A62C24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E468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Связь  предшествования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232E" w14:textId="77777777" w:rsidR="00A62C24" w:rsidRPr="00A62C24" w:rsidRDefault="00A62C24" w:rsidP="00A62C24">
            <w:pPr>
              <w:ind w:left="5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7DBB478" wp14:editId="62A70F9F">
                  <wp:extent cx="917338" cy="901929"/>
                  <wp:effectExtent l="0" t="0" r="0" b="0"/>
                  <wp:docPr id="1441" name="Picture 14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" name="Picture 14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38" cy="90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546F" w14:textId="77777777" w:rsidR="00A62C24" w:rsidRPr="00A62C24" w:rsidRDefault="00A62C24" w:rsidP="00A62C24">
            <w:pPr>
              <w:ind w:left="12" w:right="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Стрелки элемента «Связь предшествования» обозначают передачу управления от одного действия к другому, т. е. предыдущее действие должно закончиться прежде, чем начнется следующее. Стрелка, запускающая выполнение действия, изображается входящей в действие сверху. Стрелка, обозначающая передачу управления другому (другим) действию, изображается выходящей из действия снизу </w:t>
            </w:r>
          </w:p>
        </w:tc>
      </w:tr>
    </w:tbl>
    <w:p w14:paraId="3B0934E9" w14:textId="77777777" w:rsidR="00A62C24" w:rsidRPr="00A62C24" w:rsidRDefault="00A62C24" w:rsidP="00A62C24">
      <w:pPr>
        <w:spacing w:after="0"/>
        <w:ind w:left="10" w:right="176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Окончание табл. 2.1 </w:t>
      </w:r>
    </w:p>
    <w:tbl>
      <w:tblPr>
        <w:tblStyle w:val="TableGrid"/>
        <w:tblW w:w="9746" w:type="dxa"/>
        <w:tblInd w:w="174" w:type="dxa"/>
        <w:tblCellMar>
          <w:left w:w="94" w:type="dxa"/>
          <w:right w:w="23" w:type="dxa"/>
        </w:tblCellMar>
        <w:tblLook w:val="04A0" w:firstRow="1" w:lastRow="0" w:firstColumn="1" w:lastColumn="0" w:noHBand="0" w:noVBand="1"/>
      </w:tblPr>
      <w:tblGrid>
        <w:gridCol w:w="959"/>
        <w:gridCol w:w="1799"/>
        <w:gridCol w:w="2667"/>
        <w:gridCol w:w="4321"/>
      </w:tblGrid>
      <w:tr w:rsidR="00A62C24" w:rsidRPr="00A62C24" w14:paraId="0DE383C3" w14:textId="77777777" w:rsidTr="00764266">
        <w:trPr>
          <w:trHeight w:val="66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AE2D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E4E5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D212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F52C" w14:textId="77777777" w:rsidR="00A62C24" w:rsidRPr="00A62C24" w:rsidRDefault="00A62C24" w:rsidP="00A62C24">
            <w:pPr>
              <w:ind w:left="971" w:right="9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Описание элемента </w:t>
            </w:r>
          </w:p>
        </w:tc>
      </w:tr>
      <w:tr w:rsidR="00A62C24" w:rsidRPr="00A62C24" w14:paraId="3837B117" w14:textId="77777777" w:rsidTr="00764266">
        <w:trPr>
          <w:trHeight w:val="252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7D18" w14:textId="77777777" w:rsidR="00A62C24" w:rsidRPr="00A62C24" w:rsidRDefault="00A62C24" w:rsidP="00A62C24">
            <w:pPr>
              <w:ind w:right="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F6D5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Поток объектов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1F9F" w14:textId="77777777" w:rsidR="00A62C24" w:rsidRPr="00A62C24" w:rsidRDefault="00A62C24" w:rsidP="00A62C24">
            <w:pPr>
              <w:ind w:left="11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E0F3129" wp14:editId="67DDC909">
                  <wp:extent cx="1427457" cy="582079"/>
                  <wp:effectExtent l="0" t="0" r="0" b="0"/>
                  <wp:docPr id="1663" name="Picture 1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" name="Picture 16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57" cy="58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F339" w14:textId="77777777" w:rsidR="00A62C24" w:rsidRPr="00A62C24" w:rsidRDefault="00A62C24" w:rsidP="00A62C24">
            <w:pPr>
              <w:ind w:left="12" w:right="8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Стрелки элемента «Поток объектов» используются в случаях, когда необходимо показать, что из одного действия объекты передаются в другое, при этом первое действие не запускает выполнения второго. «Поток объектов» обозначается стрелкой с двумя треугольниками на конце </w:t>
            </w:r>
          </w:p>
        </w:tc>
      </w:tr>
      <w:tr w:rsidR="00A62C24" w:rsidRPr="00A62C24" w14:paraId="64523482" w14:textId="77777777" w:rsidTr="00764266">
        <w:trPr>
          <w:trHeight w:val="157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A1F6" w14:textId="77777777" w:rsidR="00A62C24" w:rsidRPr="00A62C24" w:rsidRDefault="00A62C24" w:rsidP="00A62C24">
            <w:pPr>
              <w:ind w:right="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5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35B5" w14:textId="77777777" w:rsidR="00A62C24" w:rsidRPr="00A62C24" w:rsidRDefault="00A62C24" w:rsidP="00A62C24">
            <w:pPr>
              <w:spacing w:after="10"/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Дорожки  </w:t>
            </w:r>
          </w:p>
          <w:p w14:paraId="55BC2457" w14:textId="77777777" w:rsidR="00A62C24" w:rsidRPr="00A62C24" w:rsidRDefault="00A62C24" w:rsidP="00A62C24">
            <w:pPr>
              <w:spacing w:after="24" w:line="311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(используется только  </w:t>
            </w:r>
          </w:p>
          <w:p w14:paraId="2DCAF14D" w14:textId="77777777" w:rsidR="00A62C24" w:rsidRPr="00A62C24" w:rsidRDefault="00A62C24" w:rsidP="00A62C24">
            <w:pPr>
              <w:spacing w:after="90"/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нотации  </w:t>
            </w:r>
          </w:p>
          <w:p w14:paraId="5D97ECB0" w14:textId="77777777" w:rsidR="00A62C24" w:rsidRPr="00A62C24" w:rsidRDefault="00A62C24" w:rsidP="00A62C24">
            <w:pPr>
              <w:ind w:lef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«Процедура»)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1459" w14:textId="77777777" w:rsidR="00A62C24" w:rsidRPr="00A62C24" w:rsidRDefault="00A62C24" w:rsidP="00A62C24">
            <w:pPr>
              <w:ind w:left="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27641A0" wp14:editId="4DC06B6B">
                  <wp:extent cx="1518922" cy="652146"/>
                  <wp:effectExtent l="0" t="0" r="0" b="0"/>
                  <wp:docPr id="1665" name="Picture 16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" name="Picture 16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22" cy="65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034" w14:textId="77777777" w:rsidR="00A62C24" w:rsidRPr="00A62C24" w:rsidRDefault="00A62C24" w:rsidP="00A62C24">
            <w:pPr>
              <w:ind w:left="12" w:right="8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Дорожки предназначены для отображения организационных единиц (должности, подразделения, роли, внешнего субъекта) – исполнителей действий процесса </w:t>
            </w:r>
          </w:p>
        </w:tc>
      </w:tr>
      <w:tr w:rsidR="00A62C24" w:rsidRPr="00A62C24" w14:paraId="2A23585C" w14:textId="77777777" w:rsidTr="00764266">
        <w:trPr>
          <w:trHeight w:val="165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5337" w14:textId="77777777" w:rsidR="00A62C24" w:rsidRPr="00A62C24" w:rsidRDefault="00A62C24" w:rsidP="00A62C24">
            <w:pPr>
              <w:ind w:right="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45B7" w14:textId="77777777" w:rsidR="00A62C24" w:rsidRPr="00A62C24" w:rsidRDefault="00A62C24" w:rsidP="00A62C24">
            <w:pPr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4410" w14:textId="77777777" w:rsidR="00A62C24" w:rsidRPr="00A62C24" w:rsidRDefault="00A62C24" w:rsidP="00A62C24">
            <w:pPr>
              <w:ind w:left="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9E5CEF8" wp14:editId="3041FDE6">
                  <wp:extent cx="1610556" cy="607032"/>
                  <wp:effectExtent l="0" t="0" r="0" b="0"/>
                  <wp:docPr id="1667" name="Picture 16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" name="Picture 16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556" cy="60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F7B4" w14:textId="77777777" w:rsidR="00A62C24" w:rsidRPr="00A62C24" w:rsidRDefault="00A62C24" w:rsidP="00A62C24">
            <w:pPr>
              <w:ind w:left="12" w:right="8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События отображают стартовые точки процесса в нотациях «Процесс»/ «Процедура», указывающие на начало процесса, и конечные точки, которыми заканчивается процесс </w:t>
            </w:r>
          </w:p>
        </w:tc>
      </w:tr>
    </w:tbl>
    <w:p w14:paraId="44BD208D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Опираясь на представленное выше описание предметной области,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необходимо более детально рассмотреть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бизнес-процессы «Работа с клиентами» и «Разработка программы планирования производства»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9ED104F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Начальным событием процесса «Работа с клиентами» является поступление заказа от покупателя.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3CAF394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Можно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выделить трех исполнителей: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</w:p>
    <w:p w14:paraId="2AF9D3C3" w14:textId="4A85CA75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1.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менеджер по продажам</w:t>
      </w: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;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</w:p>
    <w:p w14:paraId="13AE477E" w14:textId="7D0BD8B6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2.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экономист</w:t>
      </w: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;</w:t>
      </w:r>
    </w:p>
    <w:p w14:paraId="78196769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3. сам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заказчик. </w:t>
      </w:r>
    </w:p>
    <w:p w14:paraId="6DD00965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Менеджер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по продажам фиксирует данные о клиенте (если он новый) и самом заказе,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экономист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рассчитывает сумму и сроки выполнения заказа, после чего данные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условия согласовываются с заказчиком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4A98DCF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 случае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если условия заказа согласованы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менеджер по продажам готовит договор, который подписывается двумя сторонами, на основании чего формируется заказ на производство. </w:t>
      </w:r>
    </w:p>
    <w:p w14:paraId="2390C8FE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В случае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если условия с заказчиком не согласованы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назначаются дополнительные переговоры, в результате которых либо пересматриваются условия заказа, либо заказчик отказывается от каких-либо действий со стороны предприятия. </w:t>
      </w:r>
    </w:p>
    <w:p w14:paraId="0FA4C21F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Процесс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«Разработка программы планирования производства»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предполагает анализ всех изделий по заказам на производство, который осуществляет менеджер по производству. </w:t>
      </w:r>
    </w:p>
    <w:p w14:paraId="2DD18630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lastRenderedPageBreak/>
        <w:t xml:space="preserve">Разработка программы планирования проводится на основании информации об изделиях и материалах, необходимых для выполнения заказа. </w:t>
      </w:r>
    </w:p>
    <w:p w14:paraId="09F6BE12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План производства по сменам утверждается заместителем директора по производству, если нет замечаний. </w:t>
      </w:r>
    </w:p>
    <w:p w14:paraId="76ED5114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На основании утвержденного плана формируются задания на производство. </w:t>
      </w:r>
    </w:p>
    <w:p w14:paraId="29017C18" w14:textId="59E6663E" w:rsidR="00A62C24" w:rsidRPr="00A62C24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По мере выполнения заданий на производство (непосредственного изготовления продукции) бухгалтер-экономист списывает использованные по факту производства материалы. </w:t>
      </w:r>
    </w:p>
    <w:p w14:paraId="390277D1" w14:textId="77777777" w:rsidR="00A62C24" w:rsidRPr="00A62C24" w:rsidRDefault="00A62C24" w:rsidP="00A62C24">
      <w:pPr>
        <w:spacing w:after="5" w:line="368" w:lineRule="auto"/>
        <w:ind w:left="-13" w:right="419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Диаграммы процессов «Работа с клиентами» и «Разработка программы планирования производства» в нотации «Процедура» представлены на рис. 2.1 и 2.2. </w:t>
      </w:r>
    </w:p>
    <w:p w14:paraId="2EBB5143" w14:textId="77777777" w:rsidR="00A62C24" w:rsidRPr="00A62C24" w:rsidRDefault="00A62C24" w:rsidP="00A62C24">
      <w:pPr>
        <w:spacing w:after="189"/>
        <w:ind w:right="12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B6396B" wp14:editId="5FC5A80B">
            <wp:extent cx="5025882" cy="3153937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882" cy="31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2943FD" w14:textId="77777777" w:rsidR="00A62C24" w:rsidRPr="00A62C24" w:rsidRDefault="00A62C24" w:rsidP="00A62C24">
      <w:pPr>
        <w:spacing w:after="20" w:line="265" w:lineRule="auto"/>
        <w:ind w:left="216" w:right="62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Рис. 2.1.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процесса «Работа с клиентами» в нотации «Процедура» </w:t>
      </w:r>
    </w:p>
    <w:p w14:paraId="41223A25" w14:textId="77777777" w:rsidR="00A62C24" w:rsidRPr="00A62C24" w:rsidRDefault="00A62C24" w:rsidP="00A62C24">
      <w:pPr>
        <w:spacing w:after="148"/>
        <w:ind w:right="3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91D733C" w14:textId="77777777" w:rsidR="00A62C24" w:rsidRPr="00A62C24" w:rsidRDefault="00A62C24" w:rsidP="00A62C24">
      <w:pPr>
        <w:spacing w:after="189"/>
        <w:ind w:right="11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CCC96AC" wp14:editId="0FBD14D0">
            <wp:extent cx="5092177" cy="2792158"/>
            <wp:effectExtent l="0" t="0" r="0" b="0"/>
            <wp:docPr id="1731" name="Picture 1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177" cy="27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9DA9DCF" w14:textId="77777777" w:rsidR="00A62C24" w:rsidRPr="00A62C24" w:rsidRDefault="00A62C24" w:rsidP="00A62C24">
      <w:pPr>
        <w:spacing w:after="88" w:line="343" w:lineRule="auto"/>
        <w:ind w:left="881" w:right="115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Рис. 2.2.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процесса «Разработка программы планирования» в нотации «Процедура» </w:t>
      </w:r>
    </w:p>
    <w:p w14:paraId="2A0AA4C2" w14:textId="32E5064F" w:rsidR="00330C42" w:rsidRPr="00D9387E" w:rsidRDefault="00A62C24" w:rsidP="00A62C24">
      <w:pPr>
        <w:rPr>
          <w:rFonts w:ascii="Times New Roman" w:hAnsi="Times New Roman" w:cs="Times New Roman"/>
          <w:sz w:val="28"/>
          <w:szCs w:val="28"/>
        </w:rPr>
      </w:pPr>
      <w:r w:rsidRPr="00D93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следует отметить, что нотации «Процесс» и «Процедура» целесообразно использовать при моделировании процессов нижнего (операционного) уровня.</w:t>
      </w:r>
    </w:p>
    <w:sectPr w:rsidR="00330C42" w:rsidRPr="00D9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C0667"/>
    <w:multiLevelType w:val="hybridMultilevel"/>
    <w:tmpl w:val="A642ACFA"/>
    <w:lvl w:ilvl="0" w:tplc="63FC1596">
      <w:start w:val="1"/>
      <w:numFmt w:val="decimal"/>
      <w:lvlText w:val="%1."/>
      <w:lvlJc w:val="left"/>
      <w:pPr>
        <w:ind w:left="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21A7D1C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8F47146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2F0F822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81AC0BC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8CA4BAA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EDCDEAA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F9E20F2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5B8D108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24"/>
    <w:rsid w:val="00284053"/>
    <w:rsid w:val="00330C42"/>
    <w:rsid w:val="004E2D1E"/>
    <w:rsid w:val="00A62C24"/>
    <w:rsid w:val="00D9387E"/>
    <w:rsid w:val="00E7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CB06"/>
  <w15:chartTrackingRefBased/>
  <w15:docId w15:val="{CE9A0DF5-9728-4E58-B6CE-0A989CEE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table" w:customStyle="1" w:styleId="TableGrid">
    <w:name w:val="TableGrid"/>
    <w:rsid w:val="00A62C2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Ильшат Рахимов</cp:lastModifiedBy>
  <cp:revision>3</cp:revision>
  <dcterms:created xsi:type="dcterms:W3CDTF">2022-12-02T08:30:00Z</dcterms:created>
  <dcterms:modified xsi:type="dcterms:W3CDTF">2022-12-02T08:45:00Z</dcterms:modified>
</cp:coreProperties>
</file>