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6E60" w14:textId="77777777" w:rsidR="00A62C24" w:rsidRPr="00A62C24" w:rsidRDefault="00A62C24" w:rsidP="00A62C24">
      <w:pPr>
        <w:keepNext/>
        <w:keepLines/>
        <w:spacing w:after="313"/>
        <w:ind w:left="302" w:right="258" w:hanging="10"/>
        <w:jc w:val="center"/>
        <w:rPr>
          <w:rFonts w:ascii="Times New Roman" w:eastAsia="Cambria" w:hAnsi="Times New Roman" w:cs="Times New Roman"/>
          <w:b/>
          <w:color w:val="000000"/>
          <w:sz w:val="28"/>
          <w:szCs w:val="28"/>
          <w:lang w:eastAsia="ru-RU"/>
        </w:rPr>
      </w:pPr>
      <w:r w:rsidRPr="00A62C24">
        <w:rPr>
          <w:rFonts w:ascii="Times New Roman" w:eastAsia="Cambria" w:hAnsi="Times New Roman" w:cs="Times New Roman"/>
          <w:b/>
          <w:color w:val="000000"/>
          <w:sz w:val="28"/>
          <w:szCs w:val="28"/>
          <w:lang w:eastAsia="ru-RU"/>
        </w:rPr>
        <w:t xml:space="preserve">ПОСТРОЕНИЕ МОДЕЛИ ДЕЯТЕЛЬНОСТИ ПРЕДПРИЯТИЯ.  НОТАЦИИ «ПРОЦЕСС» И «ПРОЦЕДУРА» </w:t>
      </w:r>
    </w:p>
    <w:p w14:paraId="49E84EE3" w14:textId="77777777" w:rsidR="00A62C24" w:rsidRPr="00A62C24" w:rsidRDefault="00A62C24" w:rsidP="00A62C24">
      <w:pPr>
        <w:keepNext/>
        <w:keepLines/>
        <w:spacing w:after="69"/>
        <w:ind w:left="904" w:hanging="10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Цель работы </w:t>
      </w:r>
    </w:p>
    <w:p w14:paraId="70273799" w14:textId="77777777" w:rsidR="00A62C24" w:rsidRPr="00A62C24" w:rsidRDefault="00A62C24" w:rsidP="00A62C24">
      <w:pPr>
        <w:numPr>
          <w:ilvl w:val="0"/>
          <w:numId w:val="1"/>
        </w:numPr>
        <w:spacing w:after="5" w:line="368" w:lineRule="auto"/>
        <w:ind w:right="176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Знакомство с графическими нотациями формализации и описания бизнес-процессов «Процесс», «Процедура». </w:t>
      </w:r>
    </w:p>
    <w:p w14:paraId="2B8CE052" w14:textId="77777777" w:rsidR="00A62C24" w:rsidRPr="00A62C24" w:rsidRDefault="00A62C24" w:rsidP="00A62C24">
      <w:pPr>
        <w:numPr>
          <w:ilvl w:val="0"/>
          <w:numId w:val="1"/>
        </w:numPr>
        <w:spacing w:after="5" w:line="368" w:lineRule="auto"/>
        <w:ind w:right="176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Доработка функциональной модели бизнес-процессов выбранной предметной области в нотациях «Процесс» и «Процедура».  </w:t>
      </w:r>
    </w:p>
    <w:p w14:paraId="795983D6" w14:textId="77777777" w:rsidR="00617DEA" w:rsidRDefault="00A62C24" w:rsidP="00617DEA">
      <w:pPr>
        <w:spacing w:after="162"/>
        <w:ind w:left="908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r w:rsidR="00284053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Построение модели происходит также в </w:t>
      </w:r>
      <w:r w:rsidR="00284053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ru-RU"/>
        </w:rPr>
        <w:t>MS</w:t>
      </w:r>
      <w:r w:rsidR="00284053" w:rsidRPr="00284053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r w:rsidR="00284053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ru-RU"/>
        </w:rPr>
        <w:t>Visio</w:t>
      </w:r>
      <w:r w:rsidR="00284053" w:rsidRPr="00284053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.</w:t>
      </w:r>
      <w:bookmarkStart w:id="0" w:name="_Hlk135918280"/>
    </w:p>
    <w:p w14:paraId="52F8AD28" w14:textId="380ED87E" w:rsidR="00617DEA" w:rsidRPr="00617DEA" w:rsidRDefault="00617DEA" w:rsidP="00617DEA">
      <w:pPr>
        <w:spacing w:after="162"/>
        <w:ind w:left="908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7030A0"/>
          <w:sz w:val="28"/>
          <w:szCs w:val="28"/>
        </w:rPr>
        <w:t xml:space="preserve">Среда разработки: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Microsoft</w:t>
      </w:r>
      <w:r w:rsidRPr="007C4041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Visio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.</w:t>
      </w:r>
      <w:bookmarkEnd w:id="0"/>
    </w:p>
    <w:p w14:paraId="7D3BB9C9" w14:textId="77777777" w:rsidR="00A62C24" w:rsidRPr="00A62C24" w:rsidRDefault="00A62C24" w:rsidP="00A62C24">
      <w:pPr>
        <w:keepNext/>
        <w:keepLines/>
        <w:spacing w:after="162"/>
        <w:ind w:left="904" w:hanging="10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Постановка задачи </w:t>
      </w:r>
    </w:p>
    <w:p w14:paraId="77533C64" w14:textId="77777777" w:rsidR="00A62C24" w:rsidRPr="00A62C24" w:rsidRDefault="00A62C24" w:rsidP="00A62C24">
      <w:pPr>
        <w:spacing w:after="5" w:line="368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Для заданной предметной области «Мебельная фабрика Восточная» (описание см. в лаб. работе № 1) построить бизнес-процессы в нотациях </w:t>
      </w:r>
      <w:r w:rsidRPr="00A62C2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«Процесс» и «Процедура»</w:t>
      </w:r>
      <w:r w:rsidRPr="00A62C2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  <w:r w:rsidRPr="00A62C2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</w:p>
    <w:p w14:paraId="4F40C994" w14:textId="77777777" w:rsidR="00A62C24" w:rsidRPr="00A62C24" w:rsidRDefault="00A62C24" w:rsidP="00A62C24">
      <w:pPr>
        <w:keepNext/>
        <w:keepLines/>
        <w:spacing w:after="148"/>
        <w:ind w:left="690" w:hanging="1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Указания </w:t>
      </w:r>
    </w:p>
    <w:p w14:paraId="03821959" w14:textId="77777777" w:rsidR="00A62C24" w:rsidRPr="00A62C24" w:rsidRDefault="00A62C24" w:rsidP="00A62C24">
      <w:pPr>
        <w:spacing w:after="5" w:line="368" w:lineRule="auto"/>
        <w:ind w:left="-13" w:right="413" w:firstLine="67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Нотации «Процесс» и «Процедура» используются для представления алгоритма (сценария) выполнения бизнес-процесса. Они позволяют задать причинно-следственные связи и временную последовательность выполнения действий процесса. Эти нотации поддерживают декомпозицию на подпроцессы, так же как и нотация IDEF0. </w:t>
      </w:r>
    </w:p>
    <w:p w14:paraId="311311FF" w14:textId="77777777" w:rsidR="00A62C24" w:rsidRPr="00A62C24" w:rsidRDefault="00A62C24" w:rsidP="00A62C24">
      <w:pPr>
        <w:spacing w:after="5" w:line="368" w:lineRule="auto"/>
        <w:ind w:left="-13" w:right="418" w:firstLine="67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Различие между нотациями «Процесс» и «Процедура» состоит в том, что дополнительно к графическим элементам, применяемым в нотации «Процесс», в нотации «Процедура» используются дорожки (Swim Lanes), обозначающие исполнителей действий процесса. Это позволяет повысить наглядность диаграммы. </w:t>
      </w:r>
    </w:p>
    <w:p w14:paraId="43A632FC" w14:textId="77777777" w:rsidR="00A62C24" w:rsidRPr="00A62C24" w:rsidRDefault="00A62C24" w:rsidP="00A62C24">
      <w:pPr>
        <w:spacing w:after="5" w:line="368" w:lineRule="auto"/>
        <w:ind w:left="-13" w:right="176" w:firstLine="67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Элементы графических нотаций «Процесс» и «Процедура» представлены в табл. 2.1. </w:t>
      </w:r>
    </w:p>
    <w:p w14:paraId="3743D1F7" w14:textId="77777777" w:rsidR="00D9387E" w:rsidRDefault="00D9387E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br w:type="page"/>
      </w:r>
    </w:p>
    <w:p w14:paraId="59FED519" w14:textId="6EB88143" w:rsidR="00A62C24" w:rsidRPr="00A62C24" w:rsidRDefault="00A62C24" w:rsidP="00D9387E">
      <w:pPr>
        <w:spacing w:after="0"/>
        <w:ind w:left="1803" w:right="4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 xml:space="preserve">Таблица 2.1 </w:t>
      </w:r>
      <w:r w:rsidRPr="00A62C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Назначение графических символов, используемых в нотациях «Процесс», «Процедура» </w:t>
      </w:r>
    </w:p>
    <w:tbl>
      <w:tblPr>
        <w:tblStyle w:val="TableGrid"/>
        <w:tblW w:w="9746" w:type="dxa"/>
        <w:tblInd w:w="-54" w:type="dxa"/>
        <w:tblCellMar>
          <w:left w:w="96" w:type="dxa"/>
          <w:right w:w="29" w:type="dxa"/>
        </w:tblCellMar>
        <w:tblLook w:val="04A0" w:firstRow="1" w:lastRow="0" w:firstColumn="1" w:lastColumn="0" w:noHBand="0" w:noVBand="1"/>
      </w:tblPr>
      <w:tblGrid>
        <w:gridCol w:w="957"/>
        <w:gridCol w:w="2226"/>
        <w:gridCol w:w="2618"/>
        <w:gridCol w:w="3945"/>
      </w:tblGrid>
      <w:tr w:rsidR="00A62C24" w:rsidRPr="00A62C24" w14:paraId="320B13B0" w14:textId="77777777" w:rsidTr="00764266">
        <w:trPr>
          <w:trHeight w:val="6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1FAF9" w14:textId="77777777" w:rsidR="00A62C24" w:rsidRPr="00A62C24" w:rsidRDefault="00A62C24" w:rsidP="00A62C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Номер п/п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5E299" w14:textId="77777777" w:rsidR="00A62C24" w:rsidRPr="00A62C24" w:rsidRDefault="00A62C24" w:rsidP="00A62C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Название элемента 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CDA3" w14:textId="77777777" w:rsidR="00A62C24" w:rsidRPr="00A62C24" w:rsidRDefault="00A62C24" w:rsidP="00A62C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Графическое обозначение 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7E00C" w14:textId="77777777" w:rsidR="00A62C24" w:rsidRPr="00A62C24" w:rsidRDefault="00A62C24" w:rsidP="00A62C24">
            <w:pPr>
              <w:ind w:left="971" w:right="97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Описание элемента </w:t>
            </w:r>
          </w:p>
        </w:tc>
      </w:tr>
      <w:tr w:rsidR="00A62C24" w:rsidRPr="00A62C24" w14:paraId="49F87B24" w14:textId="77777777" w:rsidTr="00764266">
        <w:trPr>
          <w:trHeight w:val="252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F0CEB" w14:textId="77777777" w:rsidR="00A62C24" w:rsidRPr="00A62C24" w:rsidRDefault="00A62C24" w:rsidP="00A62C24">
            <w:pPr>
              <w:ind w:right="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863C" w14:textId="77777777" w:rsidR="00A62C24" w:rsidRPr="00A62C24" w:rsidRDefault="00A62C24" w:rsidP="00A62C24">
            <w:pPr>
              <w:ind w:right="7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Действие 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D972B" w14:textId="77777777" w:rsidR="00A62C24" w:rsidRPr="00A62C24" w:rsidRDefault="00A62C24" w:rsidP="00A62C24">
            <w:pPr>
              <w:ind w:left="19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72FE50F" wp14:editId="23733A8E">
                  <wp:extent cx="1334074" cy="589360"/>
                  <wp:effectExtent l="0" t="0" r="0" b="0"/>
                  <wp:docPr id="1437" name="Picture 14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" name="Picture 14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074" cy="58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31B3" w14:textId="77777777" w:rsidR="00A62C24" w:rsidRPr="00A62C24" w:rsidRDefault="00A62C24" w:rsidP="00A62C24">
            <w:pPr>
              <w:ind w:left="12" w:right="7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Обозначается с помощью прямоугольного блока. Внутри блока помещается название действия. Временная последовательность выполнения действий задается расположением действий на диаграмме процесса в нотации «Процесс»/«Процедура» сверху вниз </w:t>
            </w:r>
          </w:p>
        </w:tc>
      </w:tr>
      <w:tr w:rsidR="00A62C24" w:rsidRPr="00A62C24" w14:paraId="539520E2" w14:textId="77777777" w:rsidTr="00764266">
        <w:trPr>
          <w:trHeight w:val="126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E91F" w14:textId="77777777" w:rsidR="00A62C24" w:rsidRPr="00A62C24" w:rsidRDefault="00A62C24" w:rsidP="00A62C24">
            <w:pPr>
              <w:ind w:right="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2A51" w14:textId="77777777" w:rsidR="00A62C24" w:rsidRPr="00A62C24" w:rsidRDefault="00A62C24" w:rsidP="00A62C24">
            <w:pPr>
              <w:ind w:right="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Решение 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6061" w14:textId="77777777" w:rsidR="00A62C24" w:rsidRPr="00A62C24" w:rsidRDefault="00A62C24" w:rsidP="00A62C24">
            <w:pPr>
              <w:ind w:left="4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69A25B7" wp14:editId="32A5A5F0">
                  <wp:extent cx="1506725" cy="649426"/>
                  <wp:effectExtent l="0" t="0" r="0" b="0"/>
                  <wp:docPr id="1439" name="Picture 14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" name="Picture 14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725" cy="649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6C49" w14:textId="77777777" w:rsidR="00A62C24" w:rsidRPr="00A62C24" w:rsidRDefault="00A62C24" w:rsidP="00A62C24">
            <w:pPr>
              <w:ind w:left="12" w:right="7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Обозначает ветвление, после которого процесс может пойти по одному альтернативному направлению в зависимости от некоторого условия </w:t>
            </w:r>
          </w:p>
        </w:tc>
      </w:tr>
      <w:tr w:rsidR="00A62C24" w:rsidRPr="00A62C24" w14:paraId="7AEEED0E" w14:textId="77777777" w:rsidTr="00764266">
        <w:trPr>
          <w:trHeight w:val="362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5B51" w14:textId="77777777" w:rsidR="00A62C24" w:rsidRPr="00A62C24" w:rsidRDefault="00A62C24" w:rsidP="00A62C24">
            <w:pPr>
              <w:ind w:right="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E468" w14:textId="77777777" w:rsidR="00A62C24" w:rsidRPr="00A62C24" w:rsidRDefault="00A62C24" w:rsidP="00A62C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Связь  предшествования 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9232E" w14:textId="77777777" w:rsidR="00A62C24" w:rsidRPr="00A62C24" w:rsidRDefault="00A62C24" w:rsidP="00A62C24">
            <w:pPr>
              <w:ind w:left="51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7DBB478" wp14:editId="62A70F9F">
                  <wp:extent cx="917338" cy="901929"/>
                  <wp:effectExtent l="0" t="0" r="0" b="0"/>
                  <wp:docPr id="1441" name="Picture 14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" name="Picture 14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338" cy="901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546F" w14:textId="77777777" w:rsidR="00A62C24" w:rsidRPr="00A62C24" w:rsidRDefault="00A62C24" w:rsidP="00A62C24">
            <w:pPr>
              <w:ind w:left="12" w:right="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Стрелки элемента «Связь предшествования» обозначают передачу управления от одного действия к другому, т. е. предыдущее действие должно закончиться прежде, чем начнется следующее. Стрелка, запускающая выполнение действия, изображается входящей в действие сверху. Стрелка, обозначающая передачу управления другому (другим) действию, изображается выходящей из действия снизу </w:t>
            </w:r>
          </w:p>
        </w:tc>
      </w:tr>
    </w:tbl>
    <w:p w14:paraId="3B0934E9" w14:textId="77777777" w:rsidR="00A62C24" w:rsidRPr="00A62C24" w:rsidRDefault="00A62C24" w:rsidP="00A62C24">
      <w:pPr>
        <w:spacing w:after="0"/>
        <w:ind w:left="10" w:right="176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Окончание табл. 2.1 </w:t>
      </w:r>
    </w:p>
    <w:tbl>
      <w:tblPr>
        <w:tblStyle w:val="TableGrid"/>
        <w:tblW w:w="9746" w:type="dxa"/>
        <w:tblInd w:w="174" w:type="dxa"/>
        <w:tblCellMar>
          <w:left w:w="94" w:type="dxa"/>
          <w:right w:w="23" w:type="dxa"/>
        </w:tblCellMar>
        <w:tblLook w:val="04A0" w:firstRow="1" w:lastRow="0" w:firstColumn="1" w:lastColumn="0" w:noHBand="0" w:noVBand="1"/>
      </w:tblPr>
      <w:tblGrid>
        <w:gridCol w:w="959"/>
        <w:gridCol w:w="1799"/>
        <w:gridCol w:w="2667"/>
        <w:gridCol w:w="4321"/>
      </w:tblGrid>
      <w:tr w:rsidR="00A62C24" w:rsidRPr="00A62C24" w14:paraId="0DE383C3" w14:textId="77777777" w:rsidTr="00764266">
        <w:trPr>
          <w:trHeight w:val="66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AE2D" w14:textId="77777777" w:rsidR="00A62C24" w:rsidRPr="00A62C24" w:rsidRDefault="00A62C24" w:rsidP="00A62C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Номер п/п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9E4E5" w14:textId="77777777" w:rsidR="00A62C24" w:rsidRPr="00A62C24" w:rsidRDefault="00A62C24" w:rsidP="00A62C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Название элемента 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D212" w14:textId="77777777" w:rsidR="00A62C24" w:rsidRPr="00A62C24" w:rsidRDefault="00A62C24" w:rsidP="00A62C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Графическое обозначение 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DF52C" w14:textId="77777777" w:rsidR="00A62C24" w:rsidRPr="00A62C24" w:rsidRDefault="00A62C24" w:rsidP="00A62C24">
            <w:pPr>
              <w:ind w:left="971" w:right="97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Описание элемента </w:t>
            </w:r>
          </w:p>
        </w:tc>
      </w:tr>
      <w:tr w:rsidR="00A62C24" w:rsidRPr="00A62C24" w14:paraId="3837B117" w14:textId="77777777" w:rsidTr="00764266">
        <w:trPr>
          <w:trHeight w:val="252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7D18" w14:textId="77777777" w:rsidR="00A62C24" w:rsidRPr="00A62C24" w:rsidRDefault="00A62C24" w:rsidP="00A62C24">
            <w:pPr>
              <w:ind w:right="7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4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F6D5" w14:textId="77777777" w:rsidR="00A62C24" w:rsidRPr="00A62C24" w:rsidRDefault="00A62C24" w:rsidP="00A62C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Поток объектов 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1F9F" w14:textId="77777777" w:rsidR="00A62C24" w:rsidRPr="00A62C24" w:rsidRDefault="00A62C24" w:rsidP="00A62C24">
            <w:pPr>
              <w:ind w:left="11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E0F3129" wp14:editId="67DDC909">
                  <wp:extent cx="1427457" cy="582079"/>
                  <wp:effectExtent l="0" t="0" r="0" b="0"/>
                  <wp:docPr id="1663" name="Picture 16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" name="Picture 166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57" cy="582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8F339" w14:textId="77777777" w:rsidR="00A62C24" w:rsidRPr="00A62C24" w:rsidRDefault="00A62C24" w:rsidP="00A62C24">
            <w:pPr>
              <w:ind w:left="12" w:right="8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Стрелки элемента «Поток объектов» используются в случаях, когда необходимо показать, что из одного действия объекты передаются в другое, при этом первое действие не запускает выполнения второго. «Поток объектов» обозначается стрелкой с двумя треугольниками на конце </w:t>
            </w:r>
          </w:p>
        </w:tc>
      </w:tr>
      <w:tr w:rsidR="00A62C24" w:rsidRPr="00A62C24" w14:paraId="64523482" w14:textId="77777777" w:rsidTr="00764266">
        <w:trPr>
          <w:trHeight w:val="157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A1F6" w14:textId="77777777" w:rsidR="00A62C24" w:rsidRPr="00A62C24" w:rsidRDefault="00A62C24" w:rsidP="00A62C24">
            <w:pPr>
              <w:ind w:right="7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F35B5" w14:textId="77777777" w:rsidR="00A62C24" w:rsidRPr="00A62C24" w:rsidRDefault="00A62C24" w:rsidP="00A62C24">
            <w:pPr>
              <w:spacing w:after="10"/>
              <w:ind w:right="7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Дорожки  </w:t>
            </w:r>
          </w:p>
          <w:p w14:paraId="55BC2457" w14:textId="77777777" w:rsidR="00A62C24" w:rsidRPr="00A62C24" w:rsidRDefault="00A62C24" w:rsidP="00A62C24">
            <w:pPr>
              <w:spacing w:after="24" w:line="311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(используется только  </w:t>
            </w:r>
          </w:p>
          <w:p w14:paraId="2DCAF14D" w14:textId="77777777" w:rsidR="00A62C24" w:rsidRPr="00A62C24" w:rsidRDefault="00A62C24" w:rsidP="00A62C24">
            <w:pPr>
              <w:spacing w:after="90"/>
              <w:ind w:right="7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нотации  </w:t>
            </w:r>
          </w:p>
          <w:p w14:paraId="5D97ECB0" w14:textId="77777777" w:rsidR="00A62C24" w:rsidRPr="00A62C24" w:rsidRDefault="00A62C24" w:rsidP="00A62C24">
            <w:pPr>
              <w:ind w:lef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«Процедура») 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1459" w14:textId="77777777" w:rsidR="00A62C24" w:rsidRPr="00A62C24" w:rsidRDefault="00A62C24" w:rsidP="00A62C24">
            <w:pPr>
              <w:ind w:left="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427641A0" wp14:editId="4DC06B6B">
                  <wp:extent cx="1518922" cy="652146"/>
                  <wp:effectExtent l="0" t="0" r="0" b="0"/>
                  <wp:docPr id="1665" name="Picture 16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" name="Picture 166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22" cy="652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7034" w14:textId="77777777" w:rsidR="00A62C24" w:rsidRPr="00A62C24" w:rsidRDefault="00A62C24" w:rsidP="00A62C24">
            <w:pPr>
              <w:ind w:left="12" w:right="8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Дорожки предназначены для отображения организационных единиц (должности, подразделения, роли, внешнего субъекта) – исполнителей действий процесса </w:t>
            </w:r>
          </w:p>
        </w:tc>
      </w:tr>
      <w:tr w:rsidR="00A62C24" w:rsidRPr="00A62C24" w14:paraId="2A23585C" w14:textId="77777777" w:rsidTr="00764266">
        <w:trPr>
          <w:trHeight w:val="165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5337" w14:textId="77777777" w:rsidR="00A62C24" w:rsidRPr="00A62C24" w:rsidRDefault="00A62C24" w:rsidP="00A62C24">
            <w:pPr>
              <w:ind w:right="7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45B7" w14:textId="77777777" w:rsidR="00A62C24" w:rsidRPr="00A62C24" w:rsidRDefault="00A62C24" w:rsidP="00A62C24">
            <w:pPr>
              <w:ind w:right="7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Событие 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4410" w14:textId="77777777" w:rsidR="00A62C24" w:rsidRPr="00A62C24" w:rsidRDefault="00A62C24" w:rsidP="00A62C24">
            <w:pPr>
              <w:ind w:left="1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69E5CEF8" wp14:editId="3041FDE6">
                  <wp:extent cx="1610556" cy="607032"/>
                  <wp:effectExtent l="0" t="0" r="0" b="0"/>
                  <wp:docPr id="1667" name="Picture 16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" name="Picture 166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556" cy="607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F7B4" w14:textId="77777777" w:rsidR="00A62C24" w:rsidRPr="00A62C24" w:rsidRDefault="00A62C24" w:rsidP="00A62C24">
            <w:pPr>
              <w:ind w:left="12" w:right="8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События отображают стартовые точки процесса в нотациях «Процесс»/ «Процедура», указывающие на начало процесса, и конечные точки, которыми заканчивается процесс </w:t>
            </w:r>
          </w:p>
        </w:tc>
      </w:tr>
    </w:tbl>
    <w:p w14:paraId="44BD208D" w14:textId="77777777" w:rsidR="00A62C24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Опираясь на представленное выше описание предметной области, 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необходимо более детально рассмотреть </w:t>
      </w:r>
      <w:r w:rsidRPr="00A62C2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бизнес-процессы «Работа с клиентами» и «Разработка программы планирования производства»</w:t>
      </w: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79ED104F" w14:textId="77777777" w:rsidR="00A62C24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Начальным событием процесса «Работа с клиентами» является поступление заказа от покупателя.</w:t>
      </w: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3CAF394" w14:textId="77777777" w:rsidR="00A62C24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Можно </w:t>
      </w:r>
      <w:r w:rsidRPr="00A62C2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выделить трех исполнителей: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</w:t>
      </w:r>
    </w:p>
    <w:p w14:paraId="2AF9D3C3" w14:textId="4A85CA75" w:rsidR="00A62C24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D9387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1. 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менеджер по продажам</w:t>
      </w:r>
      <w:r w:rsidRPr="00D9387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;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</w:t>
      </w:r>
    </w:p>
    <w:p w14:paraId="13AE477E" w14:textId="7D0BD8B6" w:rsidR="00A62C24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D9387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2. 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экономист</w:t>
      </w:r>
      <w:r w:rsidRPr="00D9387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;</w:t>
      </w:r>
    </w:p>
    <w:p w14:paraId="78196769" w14:textId="77777777" w:rsidR="00A62C24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D9387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3. сам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заказчик. </w:t>
      </w:r>
    </w:p>
    <w:p w14:paraId="6DD00965" w14:textId="77777777" w:rsidR="00D9387E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Менеджер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по продажам фиксирует данные о клиенте (если он новый) и самом заказе, </w:t>
      </w:r>
      <w:r w:rsidRPr="00A62C2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 xml:space="preserve">экономист 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рассчитывает сумму и сроки выполнения заказа, после чего данные </w:t>
      </w:r>
      <w:r w:rsidRPr="00A62C2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условия согласовываются с заказчиком</w:t>
      </w: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24A98DCF" w14:textId="77777777" w:rsidR="00D9387E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В случае</w:t>
      </w:r>
      <w:r w:rsidRPr="00A62C2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 xml:space="preserve"> если условия заказа согласованы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, менеджер по продажам готовит договор, который подписывается двумя сторонами, на основании чего формируется заказ на производство. </w:t>
      </w:r>
    </w:p>
    <w:p w14:paraId="2390C8FE" w14:textId="77777777" w:rsidR="00D9387E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В случае </w:t>
      </w:r>
      <w:r w:rsidRPr="00A62C2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если условия с заказчиком не согласованы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, назначаются дополнительные переговоры, в результате которых либо 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lastRenderedPageBreak/>
        <w:t xml:space="preserve">пересматриваются условия заказа, либо заказчик отказывается от каких-либо действий со стороны предприятия. </w:t>
      </w:r>
    </w:p>
    <w:p w14:paraId="0FA4C21F" w14:textId="77777777" w:rsidR="00D9387E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Процесс </w:t>
      </w:r>
      <w:r w:rsidRPr="00A62C2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«Разработка программы планирования производства»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предполагает анализ всех изделий по заказам на производство, который осуществляет менеджер по производству. </w:t>
      </w:r>
    </w:p>
    <w:p w14:paraId="2DD18630" w14:textId="77777777" w:rsidR="00D9387E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Разработка программы планирования проводится на основании информации об изделиях и материалах, необходимых для выполнения заказа. </w:t>
      </w:r>
    </w:p>
    <w:p w14:paraId="09F6BE12" w14:textId="77777777" w:rsidR="00D9387E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План производства по сменам утверждается заместителем директора по производству, если нет замечаний. </w:t>
      </w:r>
    </w:p>
    <w:p w14:paraId="76ED5114" w14:textId="77777777" w:rsidR="00D9387E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На основании утвержденного плана формируются задания на производство. </w:t>
      </w:r>
    </w:p>
    <w:p w14:paraId="29017C18" w14:textId="59E6663E" w:rsidR="00A62C24" w:rsidRPr="00A62C24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По мере выполнения заданий на производство (непосредственного изготовления продукции) бухгалтер-экономист списывает использованные по факту производства материалы. </w:t>
      </w:r>
    </w:p>
    <w:p w14:paraId="390277D1" w14:textId="77777777" w:rsidR="00A62C24" w:rsidRPr="00A62C24" w:rsidRDefault="00A62C24" w:rsidP="00A62C24">
      <w:pPr>
        <w:spacing w:after="5" w:line="368" w:lineRule="auto"/>
        <w:ind w:left="-13" w:right="419" w:firstLine="67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Диаграммы процессов «Работа с клиентами» и «Разработка программы планирования производства» в нотации «Процедура» представлены на рис. 2.1 и 2.2. </w:t>
      </w:r>
    </w:p>
    <w:p w14:paraId="2EBB5143" w14:textId="77777777" w:rsidR="00A62C24" w:rsidRPr="00A62C24" w:rsidRDefault="00A62C24" w:rsidP="00A62C24">
      <w:pPr>
        <w:spacing w:after="189"/>
        <w:ind w:right="12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EB6396B" wp14:editId="5FC5A80B">
            <wp:extent cx="5025882" cy="3153937"/>
            <wp:effectExtent l="0" t="0" r="0" b="0"/>
            <wp:docPr id="1729" name="Picture 1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" name="Picture 172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882" cy="315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32943FD" w14:textId="77777777" w:rsidR="00A62C24" w:rsidRPr="00A62C24" w:rsidRDefault="00A62C24" w:rsidP="00A62C24">
      <w:pPr>
        <w:spacing w:after="20" w:line="265" w:lineRule="auto"/>
        <w:ind w:left="216" w:right="628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Рис. 2.1.</w:t>
      </w: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Диаграмма процесса «Работа с клиентами» в нотации «Процедура» </w:t>
      </w:r>
    </w:p>
    <w:p w14:paraId="41223A25" w14:textId="77777777" w:rsidR="00A62C24" w:rsidRPr="00A62C24" w:rsidRDefault="00A62C24" w:rsidP="00A62C24">
      <w:pPr>
        <w:spacing w:after="148"/>
        <w:ind w:right="3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91D733C" w14:textId="77777777" w:rsidR="00A62C24" w:rsidRPr="00A62C24" w:rsidRDefault="00A62C24" w:rsidP="00A62C24">
      <w:pPr>
        <w:spacing w:after="189"/>
        <w:ind w:right="116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CCC96AC" wp14:editId="0FBD14D0">
            <wp:extent cx="5092177" cy="2792158"/>
            <wp:effectExtent l="0" t="0" r="0" b="0"/>
            <wp:docPr id="1731" name="Picture 1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" name="Picture 17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177" cy="279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9DA9DCF" w14:textId="77777777" w:rsidR="00A62C24" w:rsidRPr="00A62C24" w:rsidRDefault="00A62C24" w:rsidP="00A62C24">
      <w:pPr>
        <w:spacing w:after="88" w:line="343" w:lineRule="auto"/>
        <w:ind w:left="881" w:right="1158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Рис. 2.2.</w:t>
      </w: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Диаграмма процесса «Разработка программы планирования» в нотации «Процедура» </w:t>
      </w:r>
    </w:p>
    <w:p w14:paraId="2A0AA4C2" w14:textId="32E5064F" w:rsidR="00330C42" w:rsidRPr="00D9387E" w:rsidRDefault="00A62C24" w:rsidP="00A62C24">
      <w:pPr>
        <w:rPr>
          <w:rFonts w:ascii="Times New Roman" w:hAnsi="Times New Roman" w:cs="Times New Roman"/>
          <w:sz w:val="28"/>
          <w:szCs w:val="28"/>
        </w:rPr>
      </w:pPr>
      <w:r w:rsidRPr="00D93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следует отметить, что нотации «Процесс» и «Процедура» целесообразно использовать при моделировании процессов нижнего (операционного) уровня.</w:t>
      </w:r>
    </w:p>
    <w:sectPr w:rsidR="00330C42" w:rsidRPr="00D93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C0667"/>
    <w:multiLevelType w:val="hybridMultilevel"/>
    <w:tmpl w:val="A642ACFA"/>
    <w:lvl w:ilvl="0" w:tplc="63FC1596">
      <w:start w:val="1"/>
      <w:numFmt w:val="decimal"/>
      <w:lvlText w:val="%1."/>
      <w:lvlJc w:val="left"/>
      <w:pPr>
        <w:ind w:left="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821A7D1C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28F47146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2F0F822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81AC0BC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8CA4BAA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EDCDEAA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F9E20F2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5B8D108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616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24"/>
    <w:rsid w:val="00284053"/>
    <w:rsid w:val="00330C42"/>
    <w:rsid w:val="004E2D1E"/>
    <w:rsid w:val="00617DEA"/>
    <w:rsid w:val="00A62C24"/>
    <w:rsid w:val="00D9387E"/>
    <w:rsid w:val="00E7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BCB06"/>
  <w15:chartTrackingRefBased/>
  <w15:docId w15:val="{CE9A0DF5-9728-4E58-B6CE-0A989CEE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Оникса"/>
    <w:basedOn w:val="a"/>
    <w:autoRedefine/>
    <w:qFormat/>
    <w:rsid w:val="004E2D1E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table" w:customStyle="1" w:styleId="TableGrid">
    <w:name w:val="TableGrid"/>
    <w:rsid w:val="00A62C2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 Рахимов</dc:creator>
  <cp:keywords/>
  <dc:description/>
  <cp:lastModifiedBy>Admin</cp:lastModifiedBy>
  <cp:revision>4</cp:revision>
  <dcterms:created xsi:type="dcterms:W3CDTF">2022-12-02T08:30:00Z</dcterms:created>
  <dcterms:modified xsi:type="dcterms:W3CDTF">2023-05-25T11:08:00Z</dcterms:modified>
</cp:coreProperties>
</file>