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5588" w14:textId="63DEBC79" w:rsidR="00B624ED" w:rsidRPr="00277441" w:rsidRDefault="00B624ED" w:rsidP="00277441">
      <w:pPr>
        <w:shd w:val="clear" w:color="auto" w:fill="FFFFFF"/>
        <w:spacing w:before="84" w:after="0" w:line="360" w:lineRule="auto"/>
        <w:ind w:left="766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Основные понятия системного и структурного анализа.</w:t>
      </w:r>
    </w:p>
    <w:p w14:paraId="109413C8" w14:textId="58B7A2FD" w:rsidR="00B624ED" w:rsidRPr="00277441" w:rsidRDefault="00B624ED" w:rsidP="00277441">
      <w:pPr>
        <w:shd w:val="clear" w:color="auto" w:fill="FFFFFF"/>
        <w:spacing w:before="86"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0" w:name="_Toc22204702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1</w:t>
      </w:r>
      <w:bookmarkEnd w:id="0"/>
    </w:p>
    <w:p w14:paraId="1BC79D2D" w14:textId="1F60B31D" w:rsidR="00B624ED" w:rsidRPr="002E54B9" w:rsidRDefault="00B624ED" w:rsidP="00277441">
      <w:pPr>
        <w:shd w:val="clear" w:color="auto" w:fill="FFFFFF"/>
        <w:spacing w:before="80" w:after="0" w:line="360" w:lineRule="auto"/>
        <w:ind w:firstLine="454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2E54B9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Ознакомиться с предложенным вариантом описания предметной области</w:t>
      </w:r>
      <w:r w:rsidR="00783069" w:rsidRPr="002E54B9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 xml:space="preserve"> и выбрать вариант</w:t>
      </w:r>
    </w:p>
    <w:p w14:paraId="53E57FB1" w14:textId="46600201" w:rsidR="00B624ED" w:rsidRPr="00B624ED" w:rsidRDefault="00B624ED" w:rsidP="002774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</w:p>
    <w:tbl>
      <w:tblPr>
        <w:tblW w:w="10632" w:type="dxa"/>
        <w:tblInd w:w="-114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130"/>
        <w:gridCol w:w="7368"/>
      </w:tblGrid>
      <w:tr w:rsidR="00B624ED" w:rsidRPr="00B624ED" w14:paraId="7F629B42" w14:textId="77777777" w:rsidTr="00DE7DE7">
        <w:trPr>
          <w:trHeight w:val="27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DA66F" w14:textId="2B568CAF" w:rsidR="00B624ED" w:rsidRPr="00B624ED" w:rsidRDefault="00B624ED" w:rsidP="00277441">
            <w:pPr>
              <w:spacing w:after="0" w:line="256" w:lineRule="atLeast"/>
              <w:ind w:left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7E6D6E7" w14:textId="34C73175" w:rsidR="00B624ED" w:rsidRPr="00B624ED" w:rsidRDefault="00B624ED" w:rsidP="00277441">
            <w:pPr>
              <w:spacing w:after="0" w:line="256" w:lineRule="atLeas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7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CF28F2" w14:textId="03E0B010" w:rsidR="00B624ED" w:rsidRPr="00B624ED" w:rsidRDefault="00B624ED" w:rsidP="00277441">
            <w:pPr>
              <w:spacing w:after="0" w:line="256" w:lineRule="atLeast"/>
              <w:ind w:left="2335" w:right="23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B624ED" w:rsidRPr="00B624ED" w14:paraId="56432E2F" w14:textId="77777777" w:rsidTr="00DE7DE7">
        <w:trPr>
          <w:trHeight w:val="4967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B40E5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02545DE" w14:textId="781A014E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0F623B9" w14:textId="301CB814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добровольного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застрахованных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инспектору,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оплачивает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застрахованного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каких-либо</w:t>
            </w:r>
          </w:p>
          <w:p w14:paraId="3DC55463" w14:textId="51E6FC8F" w:rsidR="00B624ED" w:rsidRPr="00B624ED" w:rsidRDefault="00B624ED" w:rsidP="00277441">
            <w:pPr>
              <w:spacing w:after="0" w:line="27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оплачивает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осложнений</w:t>
            </w:r>
          </w:p>
        </w:tc>
      </w:tr>
      <w:tr w:rsidR="00B624ED" w:rsidRPr="00B624ED" w14:paraId="61AC98BB" w14:textId="77777777" w:rsidTr="00DE7DE7">
        <w:trPr>
          <w:trHeight w:val="358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FA134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E849D2" w14:textId="69066D3D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64AF6A" w14:textId="6C0B2E02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продажей,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сдачей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собственниками.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осмотр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адекватного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рыночной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</w:p>
          <w:p w14:paraId="56AA6334" w14:textId="77777777" w:rsidR="00B624ED" w:rsidRPr="00B624ED" w:rsidRDefault="00B624ED" w:rsidP="00277441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10A500DF" w14:textId="77777777" w:rsidTr="00DE7DE7">
        <w:trPr>
          <w:trHeight w:val="1934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6C2BC8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1D85613" w14:textId="4EDC63DC" w:rsidR="00B624ED" w:rsidRPr="00B624ED" w:rsidRDefault="00B624ED" w:rsidP="00277441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6AD625" w14:textId="5C93F2D7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способствует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трудоустройству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резюме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вакансиях,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</w:p>
          <w:p w14:paraId="24A6089C" w14:textId="4666C264" w:rsidR="00B624ED" w:rsidRPr="00B624ED" w:rsidRDefault="00B624ED" w:rsidP="00277441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трудоустройства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соискателям.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поиска</w:t>
            </w:r>
          </w:p>
        </w:tc>
      </w:tr>
    </w:tbl>
    <w:p w14:paraId="70998A8F" w14:textId="7B120E81" w:rsidR="00B624ED" w:rsidRDefault="00B624ED" w:rsidP="00277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3746E" w14:textId="77777777" w:rsidR="00B624ED" w:rsidRDefault="00B624ED" w:rsidP="0027744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3144118" w14:textId="77777777" w:rsidR="00B624ED" w:rsidRPr="00B624ED" w:rsidRDefault="00B624ED" w:rsidP="00277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14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127"/>
        <w:gridCol w:w="7371"/>
      </w:tblGrid>
      <w:tr w:rsidR="00B624ED" w:rsidRPr="00B624ED" w14:paraId="4843C371" w14:textId="77777777" w:rsidTr="00DE7DE7">
        <w:trPr>
          <w:trHeight w:val="27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4A3D3" w14:textId="77777777" w:rsidR="00B624ED" w:rsidRPr="00B624ED" w:rsidRDefault="00B624ED" w:rsidP="00277441">
            <w:pPr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97D951D" w14:textId="1EFC415B" w:rsidR="00B624ED" w:rsidRPr="00B624ED" w:rsidRDefault="00B624ED" w:rsidP="00277441">
            <w:pPr>
              <w:spacing w:after="0" w:line="25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CE73F7" w14:textId="6B1290FC" w:rsidR="00B624ED" w:rsidRPr="00B624ED" w:rsidRDefault="00B624ED" w:rsidP="00277441">
            <w:pPr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B624ED" w:rsidRPr="00B624ED" w14:paraId="62A6359F" w14:textId="77777777" w:rsidTr="00DE7DE7">
        <w:trPr>
          <w:trHeight w:val="1382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916D" w14:textId="4713D8B4" w:rsidR="00B624ED" w:rsidRPr="00B624ED" w:rsidRDefault="00B624ED" w:rsidP="00277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B0F876" w14:textId="36EAF483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3895FD" w14:textId="52884303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вакансия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заполненной,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трудоустроенным.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</w:p>
          <w:p w14:paraId="0CDF03EC" w14:textId="4D925E2E" w:rsidR="00B624ED" w:rsidRPr="00B624ED" w:rsidRDefault="00B624ED" w:rsidP="00277441">
            <w:pPr>
              <w:spacing w:after="0" w:line="26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60EB9F3F" w14:textId="77777777" w:rsidTr="00DE7DE7">
        <w:trPr>
          <w:trHeight w:val="358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3FA24" w14:textId="77777777" w:rsidR="00B624ED" w:rsidRPr="004B613C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8007B4" w14:textId="21C4B898" w:rsidR="00B624ED" w:rsidRPr="00B624ED" w:rsidRDefault="00B624ED" w:rsidP="00277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DB448F4" w14:textId="6C9BCC54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внедряют,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производят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сопровождение.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</w:p>
          <w:p w14:paraId="585F73D5" w14:textId="3F22D48A" w:rsidR="00B624ED" w:rsidRPr="00B624ED" w:rsidRDefault="00B624ED" w:rsidP="00277441">
            <w:pPr>
              <w:spacing w:after="0" w:line="26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6DF206D3" w14:textId="77777777" w:rsidTr="00DE7DE7">
        <w:trPr>
          <w:trHeight w:val="634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49312B" w14:textId="77777777" w:rsidR="00B624ED" w:rsidRPr="004B613C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4F00D11" w14:textId="77777777" w:rsidR="00B624ED" w:rsidRPr="00B624ED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324C33" w14:textId="1F7DF796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туристическую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деловую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поездку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сначала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анализируется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туризма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бронируются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гостиницах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переезд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разрабатывается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культурная/деловая/развлекательная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улаживания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каких-нибудь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чрезвычайных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форс-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мажорных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приходит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путевку.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высказать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замечания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пожелания,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учтены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существующих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улучшения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посредников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(гостиница,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</w:p>
          <w:p w14:paraId="7CA2004A" w14:textId="77777777" w:rsidR="00B624ED" w:rsidRPr="00B624ED" w:rsidRDefault="00B624ED" w:rsidP="00277441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</w:tbl>
    <w:p w14:paraId="78FCB4E0" w14:textId="6207CC78" w:rsidR="00B624ED" w:rsidRPr="00B624ED" w:rsidRDefault="00B624ED" w:rsidP="00277441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</w:p>
    <w:p w14:paraId="11B3E8B1" w14:textId="51E81ABB" w:rsidR="00B624ED" w:rsidRPr="00277441" w:rsidRDefault="00B624ED" w:rsidP="00277441">
      <w:pPr>
        <w:shd w:val="clear" w:color="auto" w:fill="FFFFFF"/>
        <w:spacing w:before="9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1" w:name="_Toc22204703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2</w:t>
      </w:r>
      <w:bookmarkEnd w:id="1"/>
    </w:p>
    <w:p w14:paraId="3DF296C2" w14:textId="51A5F14E" w:rsidR="00B624ED" w:rsidRPr="00277441" w:rsidRDefault="00B624ED" w:rsidP="001A34B1">
      <w:pPr>
        <w:shd w:val="clear" w:color="auto" w:fill="FFFFFF"/>
        <w:spacing w:before="79" w:after="0" w:line="273" w:lineRule="atLeast"/>
        <w:ind w:right="12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Проанализировать предметную область, уточнив и дополнив ее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, руководствуясь собственным опытом, консультациями и любыми источниками (книгами, учебниками или интернет- источниками).</w:t>
      </w:r>
    </w:p>
    <w:p w14:paraId="1E8E5CC2" w14:textId="7EAAA89B" w:rsidR="00B624ED" w:rsidRPr="00277441" w:rsidRDefault="00B624ED" w:rsidP="00277441">
      <w:pPr>
        <w:shd w:val="clear" w:color="auto" w:fill="FFFFFF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2" w:name="_Toc22204704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3</w:t>
      </w:r>
      <w:bookmarkEnd w:id="2"/>
    </w:p>
    <w:p w14:paraId="56892E81" w14:textId="2EC5E5FA" w:rsidR="00B624ED" w:rsidRPr="00277441" w:rsidRDefault="00B624ED" w:rsidP="001A34B1">
      <w:pPr>
        <w:shd w:val="clear" w:color="auto" w:fill="FFFFFF"/>
        <w:spacing w:before="79" w:after="0" w:line="273" w:lineRule="atLeast"/>
        <w:ind w:right="130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lastRenderedPageBreak/>
        <w:t xml:space="preserve">Выполнить структурное разбиение предметной области на отдельные подразделения 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(подсистемы) согласно выполняемым ими функциям.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 текста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 списком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67C9F542" w14:textId="37E6CC8C" w:rsidR="00B624ED" w:rsidRPr="00277441" w:rsidRDefault="00B624ED" w:rsidP="002774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3" w:name="_Toc22204705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4</w:t>
      </w:r>
      <w:bookmarkEnd w:id="3"/>
    </w:p>
    <w:p w14:paraId="49D2E27B" w14:textId="785A88D3" w:rsidR="00B624ED" w:rsidRPr="00277441" w:rsidRDefault="00B624ED" w:rsidP="001A34B1">
      <w:pPr>
        <w:shd w:val="clear" w:color="auto" w:fill="FFFFFF"/>
        <w:spacing w:before="77" w:after="0" w:line="273" w:lineRule="atLeast"/>
        <w:ind w:right="13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Определить </w:t>
      </w: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задачи и функции системы в целом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и </w:t>
      </w: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функции каждого подразделения (подсистемы)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 текста)</w:t>
      </w:r>
    </w:p>
    <w:p w14:paraId="5DD8A1F8" w14:textId="651EC202" w:rsidR="00B624ED" w:rsidRPr="00703F01" w:rsidRDefault="00B624ED" w:rsidP="00277441">
      <w:pPr>
        <w:shd w:val="clear" w:color="auto" w:fill="FFFFFF"/>
        <w:spacing w:before="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</w:pPr>
      <w:bookmarkStart w:id="4" w:name="_Toc22204707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4"/>
      <w:r w:rsidR="00703F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5</w:t>
      </w:r>
    </w:p>
    <w:p w14:paraId="5ACA7FF5" w14:textId="634BC3AE" w:rsidR="00B624ED" w:rsidRPr="00277441" w:rsidRDefault="001A34B1" w:rsidP="001A34B1">
      <w:pPr>
        <w:shd w:val="clear" w:color="auto" w:fill="FFFFFF"/>
        <w:spacing w:before="84" w:after="0" w:line="277" w:lineRule="atLeast"/>
        <w:ind w:right="13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Нарисовать и о</w:t>
      </w:r>
      <w:r w:rsidR="00B624ED"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писать схему работы</w:t>
      </w:r>
      <w:r w:rsidR="00B624ED"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будущей информационной системы, учитывая выделенные и описанные ранее подсистемы.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</w:t>
      </w:r>
      <w:r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схемы</w:t>
      </w:r>
      <w:r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259BC42E" w14:textId="3F3D7AB0" w:rsidR="00B624ED" w:rsidRPr="00703F01" w:rsidRDefault="00B624ED" w:rsidP="002774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5" w:name="_Toc22204708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5"/>
      <w:r w:rsidR="00703F01" w:rsidRPr="00703F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6</w:t>
      </w:r>
    </w:p>
    <w:p w14:paraId="63C1DAF2" w14:textId="38D26F54" w:rsidR="00B624ED" w:rsidRPr="00277441" w:rsidRDefault="00B624ED" w:rsidP="001A34B1">
      <w:pPr>
        <w:shd w:val="clear" w:color="auto" w:fill="FFFFFF"/>
        <w:spacing w:before="86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Определить </w:t>
      </w:r>
      <w:r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группу пользователей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, для которой данная система будет более востребована.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</w:p>
    <w:p w14:paraId="1EF965A2" w14:textId="60F49A46" w:rsidR="00B624ED" w:rsidRPr="00277441" w:rsidRDefault="00B624ED" w:rsidP="001A34B1">
      <w:pPr>
        <w:shd w:val="clear" w:color="auto" w:fill="FFFFFF"/>
        <w:spacing w:before="92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Описать перечень функций системы, которые будут доступны данной группе пользователей.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(В виде 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списка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60BCCB05" w14:textId="59B5F44B" w:rsidR="00B624ED" w:rsidRPr="00703F01" w:rsidRDefault="00B624ED" w:rsidP="00277441">
      <w:pPr>
        <w:shd w:val="clear" w:color="auto" w:fill="FFFFFF"/>
        <w:spacing w:before="9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</w:pPr>
      <w:bookmarkStart w:id="6" w:name="_Toc22204709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6"/>
      <w:r w:rsidR="00703F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7</w:t>
      </w:r>
    </w:p>
    <w:p w14:paraId="45C5707C" w14:textId="68F628C4" w:rsidR="00B624ED" w:rsidRPr="00277441" w:rsidRDefault="00B624ED" w:rsidP="00277441">
      <w:pPr>
        <w:shd w:val="clear" w:color="auto" w:fill="FFFFFF"/>
        <w:spacing w:before="87" w:after="0" w:line="275" w:lineRule="atLeast"/>
        <w:ind w:left="312" w:right="132" w:firstLine="454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Расписать основные функциональные возможности администратора системы, как одного из пользователей системы.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(В виде текста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 списком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405C5EF6" w14:textId="77777777" w:rsidR="00330C42" w:rsidRPr="00B624ED" w:rsidRDefault="00330C42" w:rsidP="00277441">
      <w:pPr>
        <w:rPr>
          <w:rFonts w:ascii="Times New Roman" w:hAnsi="Times New Roman" w:cs="Times New Roman"/>
          <w:sz w:val="28"/>
          <w:szCs w:val="28"/>
        </w:rPr>
      </w:pPr>
    </w:p>
    <w:sectPr w:rsidR="00330C42" w:rsidRPr="00B6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D"/>
    <w:rsid w:val="001A34B1"/>
    <w:rsid w:val="00277441"/>
    <w:rsid w:val="002E54B9"/>
    <w:rsid w:val="00330C42"/>
    <w:rsid w:val="004B613C"/>
    <w:rsid w:val="004E2D1E"/>
    <w:rsid w:val="00703F01"/>
    <w:rsid w:val="00783069"/>
    <w:rsid w:val="00784D60"/>
    <w:rsid w:val="008B6500"/>
    <w:rsid w:val="00B624ED"/>
    <w:rsid w:val="00BF071D"/>
    <w:rsid w:val="00DE7DE7"/>
    <w:rsid w:val="00F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7066"/>
  <w15:chartTrackingRefBased/>
  <w15:docId w15:val="{9DC00583-D47A-4E86-B1E3-FC5DD34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2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62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6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B62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paragraph"/>
    <w:basedOn w:val="a"/>
    <w:rsid w:val="00B6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10</cp:revision>
  <dcterms:created xsi:type="dcterms:W3CDTF">2022-09-07T13:16:00Z</dcterms:created>
  <dcterms:modified xsi:type="dcterms:W3CDTF">2022-09-14T07:41:00Z</dcterms:modified>
</cp:coreProperties>
</file>