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Auth0 ADR — Tech Lead Intro Briefing &amp; Intake</w:t>
      </w:r>
    </w:p>
    <w:p>
      <w:r>
        <w:rPr>
          <w:i/>
          <w:color w:val="6B7280"/>
          <w:sz w:val="20"/>
        </w:rPr>
        <w:t>Pre-read for Priya ↔ Tech Lead intro meeting · Decision already made (Auth0); this is to scope the ADR.</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Initiative</w:t>
            </w:r>
          </w:p>
        </w:tc>
        <w:tc>
          <w:tcPr>
            <w:tcW w:type="dxa" w:w="4320"/>
          </w:tcPr>
          <w:p>
            <w:r>
              <w:t>R-008 — Auth Strategy (PulseField Mobile + FieldPulse Auth0 migration)</w:t>
            </w:r>
          </w:p>
        </w:tc>
      </w:tr>
      <w:tr>
        <w:tc>
          <w:tcPr>
            <w:tcW w:type="dxa" w:w="4320"/>
          </w:tcPr>
          <w:p>
            <w:r>
              <w:rPr>
                <w:b/>
              </w:rPr>
              <w:t>Decision status</w:t>
            </w:r>
          </w:p>
        </w:tc>
        <w:tc>
          <w:tcPr>
            <w:tcW w:type="dxa" w:w="4320"/>
          </w:tcPr>
          <w:p>
            <w:r>
              <w:t>Decided at 2026-04-29 review — PulseField Mobile authenticates against Auth0 from day one</w:t>
            </w:r>
          </w:p>
        </w:tc>
      </w:tr>
      <w:tr>
        <w:tc>
          <w:tcPr>
            <w:tcW w:type="dxa" w:w="4320"/>
          </w:tcPr>
          <w:p>
            <w:r>
              <w:rPr>
                <w:b/>
              </w:rPr>
              <w:t>ADR ownership</w:t>
            </w:r>
          </w:p>
        </w:tc>
        <w:tc>
          <w:tcPr>
            <w:tcW w:type="dxa" w:w="4320"/>
          </w:tcPr>
          <w:p>
            <w:r>
              <w:t>Drafted by Relevant Software Tech Lead; accepted by Priya Krishnan (CTO, FieldPulse)</w:t>
            </w:r>
          </w:p>
        </w:tc>
      </w:tr>
      <w:tr>
        <w:tc>
          <w:tcPr>
            <w:tcW w:type="dxa" w:w="4320"/>
          </w:tcPr>
          <w:p>
            <w:r>
              <w:rPr>
                <w:b/>
              </w:rPr>
              <w:t>ADR target date</w:t>
            </w:r>
          </w:p>
        </w:tc>
        <w:tc>
          <w:tcPr>
            <w:tcW w:type="dxa" w:w="4320"/>
          </w:tcPr>
          <w:p>
            <w:r>
              <w:t>Within 2 weeks of intro meeting</w:t>
            </w:r>
          </w:p>
        </w:tc>
      </w:tr>
      <w:tr>
        <w:tc>
          <w:tcPr>
            <w:tcW w:type="dxa" w:w="4320"/>
          </w:tcPr>
          <w:p>
            <w:r>
              <w:rPr>
                <w:b/>
              </w:rPr>
              <w:t>Blocks</w:t>
            </w:r>
          </w:p>
        </w:tc>
        <w:tc>
          <w:tcPr>
            <w:tcW w:type="dxa" w:w="4320"/>
          </w:tcPr>
          <w:p>
            <w:r>
              <w:t>Implementation start of R-001 (Job Dispatch &amp; Receive); rework risk if not landed first</w:t>
            </w:r>
          </w:p>
        </w:tc>
      </w:tr>
    </w:tbl>
    <w:p/>
    <w:p>
      <w:r>
        <w:rPr>
          <w:b/>
          <w:color w:val="1F3A5F"/>
          <w:sz w:val="26"/>
        </w:rPr>
        <w:t>1. Purpose of the Intro Meeting</w:t>
      </w:r>
    </w:p>
    <w:p>
      <w:r>
        <w:t>The strategic auth question is closed: PulseField Mobile authenticates against Auth0 from day one. This meeting is not to re-decide that. It is to give the Tech Lead the context they need to draft the ADR efficiently, and for Priya to validate that the ADR will reflect FieldPulse's existing Auth0 setup and constraints.</w:t>
      </w:r>
    </w:p>
    <w:p>
      <w:r>
        <w:rPr>
          <w:b/>
          <w:color w:val="1F3A5F"/>
          <w:sz w:val="26"/>
        </w:rPr>
        <w:t>2. Suggested Agenda (45 minutes)</w:t>
      </w:r>
    </w:p>
    <w:tbl>
      <w:tblPr>
        <w:tblStyle w:val="LightList-Accent1"/>
        <w:tblW w:type="auto" w:w="0"/>
        <w:tblLook w:firstColumn="1" w:firstRow="1" w:lastColumn="0" w:lastRow="0" w:noHBand="0" w:noVBand="1" w:val="04A0"/>
      </w:tblPr>
      <w:tblGrid>
        <w:gridCol w:w="1872"/>
        <w:gridCol w:w="7200"/>
      </w:tblGrid>
      <w:tr>
        <w:tc>
          <w:tcPr>
            <w:tcW w:type="dxa" w:w="4320"/>
          </w:tcPr>
          <w:p>
            <w:r>
              <w:rPr>
                <w:b/>
              </w:rPr>
              <w:t>0:00 – 0:05</w:t>
            </w:r>
          </w:p>
        </w:tc>
        <w:tc>
          <w:tcPr>
            <w:tcW w:type="dxa" w:w="4320"/>
          </w:tcPr>
          <w:p>
            <w:r>
              <w:t>Introductions, scope confirmation</w:t>
            </w:r>
          </w:p>
        </w:tc>
      </w:tr>
      <w:tr>
        <w:tc>
          <w:tcPr>
            <w:tcW w:type="dxa" w:w="4320"/>
          </w:tcPr>
          <w:p>
            <w:r>
              <w:rPr>
                <w:b/>
              </w:rPr>
              <w:t>0:05 – 0:20</w:t>
            </w:r>
          </w:p>
        </w:tc>
        <w:tc>
          <w:tcPr>
            <w:tcW w:type="dxa" w:w="4320"/>
          </w:tcPr>
          <w:p>
            <w:r>
              <w:t>Priya walks through FieldPulse's current Auth0 setup: tenant config, dev-env POC state, hash-import plan for ~950 technician accounts, target migration window (Aug–Oct 2026)</w:t>
            </w:r>
          </w:p>
        </w:tc>
      </w:tr>
      <w:tr>
        <w:tc>
          <w:tcPr>
            <w:tcW w:type="dxa" w:w="4320"/>
          </w:tcPr>
          <w:p>
            <w:r>
              <w:rPr>
                <w:b/>
              </w:rPr>
              <w:t>0:20 – 0:35</w:t>
            </w:r>
          </w:p>
        </w:tc>
        <w:tc>
          <w:tcPr>
            <w:tcW w:type="dxa" w:w="4320"/>
          </w:tcPr>
          <w:p>
            <w:r>
              <w:t>Tech Lead walks through mobile auth requirements: token strategy, refresh-token handling, biometric login, offline-token validation, secure storage on device</w:t>
            </w:r>
          </w:p>
        </w:tc>
      </w:tr>
      <w:tr>
        <w:tc>
          <w:tcPr>
            <w:tcW w:type="dxa" w:w="4320"/>
          </w:tcPr>
          <w:p>
            <w:r>
              <w:rPr>
                <w:b/>
              </w:rPr>
              <w:t>0:35 – 0:42</w:t>
            </w:r>
          </w:p>
        </w:tc>
        <w:tc>
          <w:tcPr>
            <w:tcW w:type="dxa" w:w="4320"/>
          </w:tcPr>
          <w:p>
            <w:r>
              <w:t>Discussion of the parallel-environment plan — mobile on Auth0 while web is still on custom-rolled — and how to avoid double-identity for the same user</w:t>
            </w:r>
          </w:p>
        </w:tc>
      </w:tr>
      <w:tr>
        <w:tc>
          <w:tcPr>
            <w:tcW w:type="dxa" w:w="4320"/>
          </w:tcPr>
          <w:p>
            <w:r>
              <w:rPr>
                <w:b/>
              </w:rPr>
              <w:t>0:42 – 0:45</w:t>
            </w:r>
          </w:p>
        </w:tc>
        <w:tc>
          <w:tcPr>
            <w:tcW w:type="dxa" w:w="4320"/>
          </w:tcPr>
          <w:p>
            <w:r>
              <w:t>ADR draft ownership, acceptance path, and follow-up cadence</w:t>
            </w:r>
          </w:p>
        </w:tc>
      </w:tr>
    </w:tbl>
    <w:p/>
    <w:p>
      <w:r>
        <w:rPr>
          <w:b/>
          <w:color w:val="1F3A5F"/>
          <w:sz w:val="26"/>
        </w:rPr>
        <w:t>3. Questions the Tech Lead Will Want Answered</w:t>
      </w:r>
    </w:p>
    <w:p>
      <w:r>
        <w:t>These are intake questions for Priya — answers shape the ADR.</w:t>
      </w:r>
    </w:p>
    <w:p>
      <w:pPr>
        <w:pStyle w:val="ListBullet"/>
      </w:pPr>
      <w:r>
        <w:t>Auth0 tenant — is there a single tenant for FieldPulse, or separate tenants for prod / staging / dev? What's the naming?</w:t>
      </w:r>
    </w:p>
    <w:p>
      <w:pPr>
        <w:pStyle w:val="ListBullet"/>
      </w:pPr>
      <w:r>
        <w:t>Identity model — will technicians, dispatchers, and admins all live in one Auth0 user pool, or be partitioned by role / org?</w:t>
      </w:r>
    </w:p>
    <w:p>
      <w:pPr>
        <w:pStyle w:val="ListBullet"/>
      </w:pPr>
      <w:r>
        <w:t>Existing user hash format on the custom-rolled side — bcrypt? Argon2? scrypt? (Determines whether Auth0's hash-import works without forced password reset.)</w:t>
      </w:r>
    </w:p>
    <w:p>
      <w:pPr>
        <w:pStyle w:val="ListBullet"/>
      </w:pPr>
      <w:r>
        <w:t>Multi-tenancy — FieldPulse has ~80 customer businesses. How is customer-business membership represented in Auth0 (organisations, custom claims, app metadata)?</w:t>
      </w:r>
    </w:p>
    <w:p>
      <w:pPr>
        <w:pStyle w:val="ListBullet"/>
      </w:pPr>
      <w:r>
        <w:t>Token strategy preference — JWT access tokens with refresh, or opaque tokens with introspection? Lifetime preferences?</w:t>
      </w:r>
    </w:p>
    <w:p>
      <w:pPr>
        <w:pStyle w:val="ListBullet"/>
      </w:pPr>
      <w:r>
        <w:t>MFA — required for dispatcher / admin accounts? Optional for technicians? Hard requirement for SOC 2 readiness?</w:t>
      </w:r>
    </w:p>
    <w:p>
      <w:pPr>
        <w:pStyle w:val="ListBullet"/>
      </w:pPr>
      <w:r>
        <w:t>Social / passwordless login — anything FieldPulse plans to enable, or pure username + password for MVP?</w:t>
      </w:r>
    </w:p>
    <w:p>
      <w:pPr>
        <w:pStyle w:val="ListBullet"/>
      </w:pPr>
      <w:r>
        <w:t>Auth0 logs / audit trail — is FieldPulse already shipping Auth0 logs to a SIEM or to internal logging? (Affects SOC 2 alignment, R-009.)</w:t>
      </w:r>
    </w:p>
    <w:p>
      <w:pPr>
        <w:pStyle w:val="ListBullet"/>
      </w:pPr>
      <w:r>
        <w:t>Coexistence period — during the months mobile is on Auth0 and web is still on custom-rolled, who maintains the user-record sync between systems? Manual? Background job?</w:t>
      </w:r>
    </w:p>
    <w:p>
      <w:pPr>
        <w:pStyle w:val="ListBullet"/>
      </w:pPr>
      <w:r>
        <w:t>Auth0 plan tier — does the current Auth0 contract cover the seat count and feature set for ~950 mobile users, or is a tier upgrade likely?</w:t>
      </w:r>
    </w:p>
    <w:p>
      <w:r>
        <w:rPr>
          <w:b/>
          <w:color w:val="1F3A5F"/>
          <w:sz w:val="26"/>
        </w:rPr>
        <w:t>4. ADR Scope (What the Tech Lead Will Document)</w:t>
      </w:r>
    </w:p>
    <w:p>
      <w:pPr>
        <w:pStyle w:val="ListBullet"/>
      </w:pPr>
      <w:r>
        <w:t>Decision statement — PulseField Mobile authenticates against Auth0 from day one.</w:t>
      </w:r>
    </w:p>
    <w:p>
      <w:pPr>
        <w:pStyle w:val="ListBullet"/>
      </w:pPr>
      <w:r>
        <w:t>Context — FieldPulse Auth0 migration timeline (Aug–Oct 2026), mobile launch target (early Q4 2026), parallel-environment requirement.</w:t>
      </w:r>
    </w:p>
    <w:p>
      <w:pPr>
        <w:pStyle w:val="ListBullet"/>
      </w:pPr>
      <w:r>
        <w:t>Considered alternatives — (a) build against custom-rolled and migrate later (rejected); (b) wait for Auth0 migration to complete before starting mobile auth (rejected — timeline impact).</w:t>
      </w:r>
    </w:p>
    <w:p>
      <w:pPr>
        <w:pStyle w:val="ListBullet"/>
      </w:pPr>
      <w:r>
        <w:t>Consequences — mobile auth integration done once; mobile not blocked by Auth0 migration timing; coexistence period with two identity sources for some users.</w:t>
      </w:r>
    </w:p>
    <w:p>
      <w:pPr>
        <w:pStyle w:val="ListBullet"/>
      </w:pPr>
      <w:r>
        <w:t>Risk acceptance — Auth0 migration slippage past mobile launch is a tracked risk (linked to RAID R-008); Priya owns mitigation via the parallel-environment approach.</w:t>
      </w:r>
    </w:p>
    <w:p>
      <w:pPr>
        <w:pStyle w:val="ListBullet"/>
      </w:pPr>
      <w:r>
        <w:t>Implementation notes — token strategy, refresh-token storage, offline-token validation behaviour, biometric login support.</w:t>
      </w:r>
    </w:p>
    <w:p>
      <w:pPr>
        <w:pStyle w:val="ListBullet"/>
      </w:pPr>
      <w:r>
        <w:t>SOC 2 alignment — Auth0 is SOC 2 Type II certified; ADR notes how mobile uses Auth0 features to support FieldPulse's parallel SOC 2 work.</w:t>
      </w:r>
    </w:p>
    <w:p>
      <w:pPr>
        <w:pStyle w:val="ListBullet"/>
      </w:pPr>
      <w:r>
        <w:t>Open items — to be filled in based on Priya's answers to §3 above.</w:t>
      </w:r>
    </w:p>
    <w:p>
      <w:r>
        <w:rPr>
          <w:b/>
          <w:color w:val="1F3A5F"/>
          <w:sz w:val="26"/>
        </w:rPr>
        <w:t>5. Confirmation Needed Before the Meeting</w:t>
      </w:r>
    </w:p>
    <w:p>
      <w:pPr>
        <w:pStyle w:val="ListBullet"/>
      </w:pPr>
      <w:r>
        <w:t>Priya — confirm a 45-minute slot this week (preferably before EOW Friday 2026-05-02).</w:t>
      </w:r>
    </w:p>
    <w:p>
      <w:pPr>
        <w:pStyle w:val="ListBullet"/>
      </w:pPr>
      <w:r>
        <w:t>Priya — share Auth0 tenant access (read-only is fine) with the Tech Lead before the call so they can review configuration directly.</w:t>
      </w:r>
    </w:p>
    <w:p>
      <w:pPr>
        <w:pStyle w:val="ListBullet"/>
      </w:pPr>
      <w:r>
        <w:t>Vadim — confirm Tech Lead availability and forward this briefing to them as the pre-read.</w:t>
      </w:r>
    </w:p>
    <w:p>
      <w:pPr>
        <w:pStyle w:val="ListBullet"/>
      </w:pPr>
      <w:r>
        <w:t>Vadim — capture decisions and open questions in the meeting notes; these feed directly into the ADR draft.</w:t>
      </w:r>
    </w:p>
    <w:p/>
    <w:p>
      <w:r>
        <w:rPr>
          <w:i/>
          <w:color w:val="6B7280"/>
          <w:sz w:val="18"/>
        </w:rPr>
        <w:t>Prepared by Vadim — BA, Relevant Software · 2026-04-30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