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D163" w14:textId="3D607CE2" w:rsidR="00276D93" w:rsidRDefault="00276D93">
      <w:pPr>
        <w:rPr>
          <w:rFonts w:ascii="Times New Roman" w:hAnsi="Times New Roman" w:cs="Times New Roman"/>
          <w:sz w:val="28"/>
          <w:szCs w:val="28"/>
        </w:rPr>
      </w:pPr>
    </w:p>
    <w:p w14:paraId="39A3CC55" w14:textId="5BE2B7BD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23AFA5DA" w14:textId="247A6E05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07DB76C8" w14:textId="09689CA5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0D4E0C15" w14:textId="06324691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51C9E059" w14:textId="48B08E99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385B5C5F" w14:textId="23F38BB8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5143D833" w14:textId="32CA0BDF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0C3640B5" w14:textId="185D194D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46A065A1" w14:textId="1267B658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2FCB142E" w14:textId="1CD1E3C2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3B1B420C" w14:textId="1FC1A585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62F7AD04" w14:textId="52B55A27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125072FF" w14:textId="33585889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5F494693" w14:textId="19256832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4B1B0421" w14:textId="667A4824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7C2E8B54" w14:textId="20A41831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5240E13F" w14:textId="1E0E18BD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1DD7BEE3" w14:textId="78C2D517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6575D042" w14:textId="73C36C62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2B21E7D6" w14:textId="4EC7B683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5EB19B27" w14:textId="5E99FFA8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54F1BDBA" w14:textId="59085F69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31412CFE" w14:textId="2C67CAB1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24D7A78B" w14:textId="6C30FA98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2E0A97ED" w14:textId="67731891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458258BA" w14:textId="3492C08C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7CF180B0" w14:textId="57E2EB3A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376703AF" w14:textId="060534D5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10C88435" w14:textId="77849AE6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35376BDB" w14:textId="538D8BC0" w:rsidR="00650E0C" w:rsidRDefault="00650E0C" w:rsidP="00650E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ВСТУП</w:t>
      </w:r>
    </w:p>
    <w:p w14:paraId="783716B8" w14:textId="0E7C56C9" w:rsidR="00650E0C" w:rsidRDefault="003331B4" w:rsidP="004B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331B4">
        <w:rPr>
          <w:rFonts w:ascii="Times New Roman" w:hAnsi="Times New Roman" w:cs="Times New Roman"/>
          <w:sz w:val="28"/>
          <w:szCs w:val="28"/>
        </w:rPr>
        <w:t>Автоматизована ідентифікація багатоатомних молекул за допомогою методів машинного розпізнавання інфрачервоних (ІЧ) спектрів є важливим напрямком досліджень і використання в різних галузях, таких як хімія, фармація, біологія та матеріалознавство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331B4">
        <w:rPr>
          <w:rFonts w:ascii="Times New Roman" w:hAnsi="Times New Roman" w:cs="Times New Roman"/>
          <w:sz w:val="28"/>
          <w:szCs w:val="28"/>
        </w:rPr>
        <w:t>Застосування методів машинного розпізнавання дозволяє ефективно обробляти великі обсяги даних ІЧ спектрів, покращуючи швидкість і точність ідентифікації молекул. Автоматизована обробка даних також спрощує інтеграцію цих методів у виробничі та лабораторні процеси, роблячи їх більш доступними та ефективними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1A12AB" w14:textId="27E6324E" w:rsidR="003331B4" w:rsidRDefault="003331B4" w:rsidP="004B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331B4">
        <w:rPr>
          <w:rFonts w:ascii="Times New Roman" w:hAnsi="Times New Roman" w:cs="Times New Roman"/>
          <w:sz w:val="28"/>
          <w:szCs w:val="28"/>
        </w:rPr>
        <w:t>Метод ІЧ спектроскопії дозволяє отримувати характеристичні вібраційні спектри для різних хімічних з'єднань. Автоматизована обробка цих спектрів за допомогою алгоритмів машинного навчання дозволяє точно ідентифікувати хімічні сполуки у зразках.</w:t>
      </w:r>
      <w:r w:rsidR="00E220DB" w:rsidRPr="00E220DB">
        <w:t xml:space="preserve"> </w:t>
      </w:r>
      <w:r w:rsidR="00E220DB">
        <w:rPr>
          <w:rFonts w:ascii="Times New Roman" w:hAnsi="Times New Roman" w:cs="Times New Roman"/>
          <w:sz w:val="28"/>
          <w:szCs w:val="28"/>
        </w:rPr>
        <w:t>В</w:t>
      </w:r>
      <w:r w:rsidR="00E220DB" w:rsidRPr="00E220DB">
        <w:rPr>
          <w:rFonts w:ascii="Times New Roman" w:hAnsi="Times New Roman" w:cs="Times New Roman"/>
          <w:sz w:val="28"/>
          <w:szCs w:val="28"/>
        </w:rPr>
        <w:t>икористову</w:t>
      </w:r>
      <w:r w:rsidR="00E220DB">
        <w:rPr>
          <w:rFonts w:ascii="Times New Roman" w:hAnsi="Times New Roman" w:cs="Times New Roman"/>
          <w:sz w:val="28"/>
          <w:szCs w:val="28"/>
        </w:rPr>
        <w:t>є</w:t>
      </w:r>
      <w:r w:rsidR="00E220DB" w:rsidRPr="00E220DB">
        <w:rPr>
          <w:rFonts w:ascii="Times New Roman" w:hAnsi="Times New Roman" w:cs="Times New Roman"/>
          <w:sz w:val="28"/>
          <w:szCs w:val="28"/>
        </w:rPr>
        <w:t>ться для аналізу харчових продуктів, визначення їхнього хімічного складу та виявлення можливих забруднень. Автоматизована ідентифікація дозволяє забезпечити високу точність та швидкість аналізу продуктів</w:t>
      </w:r>
      <w:r w:rsidR="00EE4239">
        <w:rPr>
          <w:rFonts w:ascii="Times New Roman" w:hAnsi="Times New Roman" w:cs="Times New Roman"/>
          <w:sz w:val="28"/>
          <w:szCs w:val="28"/>
        </w:rPr>
        <w:t xml:space="preserve">. </w:t>
      </w:r>
      <w:r w:rsidR="00EE4239" w:rsidRPr="00EE4239">
        <w:rPr>
          <w:rFonts w:ascii="Times New Roman" w:hAnsi="Times New Roman" w:cs="Times New Roman"/>
          <w:sz w:val="28"/>
          <w:szCs w:val="28"/>
        </w:rPr>
        <w:t>У фармацевтичній промисловості важливо контролювати якість вироблених лікарських препаратів. Автоматизована ідентифікація молекул за ІЧ спектрами дозволяє швидко та ефективно визначати наявність необхідних компонентів та контролювати їхні концентрації</w:t>
      </w:r>
      <w:r w:rsidR="00EE4239">
        <w:rPr>
          <w:rFonts w:ascii="Times New Roman" w:hAnsi="Times New Roman" w:cs="Times New Roman"/>
          <w:sz w:val="28"/>
          <w:szCs w:val="28"/>
        </w:rPr>
        <w:t xml:space="preserve">. </w:t>
      </w:r>
      <w:r w:rsidR="00EE4239" w:rsidRPr="00EE4239">
        <w:rPr>
          <w:rFonts w:ascii="Times New Roman" w:hAnsi="Times New Roman" w:cs="Times New Roman"/>
          <w:sz w:val="28"/>
          <w:szCs w:val="28"/>
        </w:rPr>
        <w:t xml:space="preserve">В ІЧ області можна вивчати вібрації </w:t>
      </w:r>
      <w:proofErr w:type="spellStart"/>
      <w:r w:rsidR="00EE4239" w:rsidRPr="00EE4239">
        <w:rPr>
          <w:rFonts w:ascii="Times New Roman" w:hAnsi="Times New Roman" w:cs="Times New Roman"/>
          <w:sz w:val="28"/>
          <w:szCs w:val="28"/>
        </w:rPr>
        <w:t>біомолекул</w:t>
      </w:r>
      <w:proofErr w:type="spellEnd"/>
      <w:r w:rsidR="00EE4239" w:rsidRPr="00EE4239">
        <w:rPr>
          <w:rFonts w:ascii="Times New Roman" w:hAnsi="Times New Roman" w:cs="Times New Roman"/>
          <w:sz w:val="28"/>
          <w:szCs w:val="28"/>
        </w:rPr>
        <w:t xml:space="preserve">, таких як білки, ДНК і РНК. Це важливо для дослідження структури та функцій </w:t>
      </w:r>
      <w:proofErr w:type="spellStart"/>
      <w:r w:rsidR="00EE4239" w:rsidRPr="00EE4239">
        <w:rPr>
          <w:rFonts w:ascii="Times New Roman" w:hAnsi="Times New Roman" w:cs="Times New Roman"/>
          <w:sz w:val="28"/>
          <w:szCs w:val="28"/>
        </w:rPr>
        <w:t>біомолекул</w:t>
      </w:r>
      <w:proofErr w:type="spellEnd"/>
      <w:r w:rsidR="00EE4239" w:rsidRPr="00EE4239">
        <w:rPr>
          <w:rFonts w:ascii="Times New Roman" w:hAnsi="Times New Roman" w:cs="Times New Roman"/>
          <w:sz w:val="28"/>
          <w:szCs w:val="28"/>
        </w:rPr>
        <w:t>, що є важливим у біології та медицині</w:t>
      </w:r>
      <w:r w:rsidR="00EE4239">
        <w:rPr>
          <w:rFonts w:ascii="Times New Roman" w:hAnsi="Times New Roman" w:cs="Times New Roman"/>
          <w:sz w:val="28"/>
          <w:szCs w:val="28"/>
        </w:rPr>
        <w:t>.</w:t>
      </w:r>
      <w:r w:rsidR="003A76B1">
        <w:rPr>
          <w:rFonts w:ascii="Times New Roman" w:hAnsi="Times New Roman" w:cs="Times New Roman"/>
          <w:sz w:val="28"/>
          <w:szCs w:val="28"/>
        </w:rPr>
        <w:t xml:space="preserve"> </w:t>
      </w:r>
      <w:r w:rsidR="003A76B1" w:rsidRPr="003A76B1">
        <w:rPr>
          <w:rFonts w:ascii="Times New Roman" w:hAnsi="Times New Roman" w:cs="Times New Roman"/>
          <w:sz w:val="28"/>
          <w:szCs w:val="28"/>
        </w:rPr>
        <w:t>Автоматизована ідентифікація за ІЧ спектрами сприяє удосконаленню процесів синтезу та контролю якості матеріалів</w:t>
      </w:r>
      <w:r w:rsidR="004B4C5B">
        <w:rPr>
          <w:rFonts w:ascii="Times New Roman" w:hAnsi="Times New Roman" w:cs="Times New Roman"/>
          <w:sz w:val="28"/>
          <w:szCs w:val="28"/>
        </w:rPr>
        <w:t>.</w:t>
      </w:r>
    </w:p>
    <w:p w14:paraId="452498AD" w14:textId="2802037C" w:rsidR="004B4C5B" w:rsidRDefault="004B4C5B" w:rsidP="004B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41542A" w14:textId="6BD98E54" w:rsidR="00A531B4" w:rsidRDefault="00A531B4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E3016">
        <w:rPr>
          <w:rFonts w:ascii="Times New Roman" w:hAnsi="Times New Roman" w:cs="Times New Roman"/>
          <w:sz w:val="28"/>
          <w:szCs w:val="28"/>
        </w:rPr>
        <w:t>ОСНОВИ ІНФРАЧЕРВОНОЇ СПЕКРОСКОПІЇ</w:t>
      </w:r>
    </w:p>
    <w:p w14:paraId="143623E1" w14:textId="77777777" w:rsidR="00C33AAE" w:rsidRDefault="00C33AAE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5D740A" w14:textId="7C0B2FD9" w:rsidR="00A531B4" w:rsidRDefault="00A531B4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CE3016">
        <w:rPr>
          <w:rFonts w:ascii="Times New Roman" w:hAnsi="Times New Roman" w:cs="Times New Roman"/>
          <w:sz w:val="28"/>
          <w:szCs w:val="28"/>
        </w:rPr>
        <w:t>Призначення та принцип роботи інфрачервоної спектроскопії</w:t>
      </w:r>
    </w:p>
    <w:p w14:paraId="5437921D" w14:textId="72ED4D28" w:rsidR="00C33AAE" w:rsidRDefault="00C33AAE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0F2EE7" w14:textId="721FC063" w:rsidR="00C33AAE" w:rsidRPr="00C33AAE" w:rsidRDefault="00C33AAE" w:rsidP="00C33A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3AAE">
        <w:rPr>
          <w:rFonts w:ascii="Times New Roman" w:hAnsi="Times New Roman" w:cs="Times New Roman"/>
          <w:sz w:val="28"/>
          <w:szCs w:val="28"/>
        </w:rPr>
        <w:t>Інфрачервона спектроскопія</w:t>
      </w:r>
      <w:r w:rsidR="009D214F">
        <w:rPr>
          <w:rFonts w:ascii="Times New Roman" w:hAnsi="Times New Roman" w:cs="Times New Roman"/>
          <w:sz w:val="28"/>
          <w:szCs w:val="28"/>
        </w:rPr>
        <w:t>(ІЧ спектроскопія)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3AAE">
        <w:rPr>
          <w:rFonts w:ascii="Times New Roman" w:hAnsi="Times New Roman" w:cs="Times New Roman"/>
          <w:sz w:val="28"/>
          <w:szCs w:val="28"/>
        </w:rPr>
        <w:t>— різновид молекулярної оптичної спектроскопії, оснований на взаємодії речовини з електромагнітним випромінюванням в ІЧ діапазоні: між червоним краєм видимого спектра (хвильове число 14000 см−1) і початком короткохвильового радіодіапазону (20 см−1).</w:t>
      </w:r>
    </w:p>
    <w:p w14:paraId="14B5E395" w14:textId="33D4BD59" w:rsidR="00C33AAE" w:rsidRDefault="00C33AAE" w:rsidP="00C33A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3AAE">
        <w:rPr>
          <w:rFonts w:ascii="Times New Roman" w:hAnsi="Times New Roman" w:cs="Times New Roman"/>
          <w:sz w:val="28"/>
          <w:szCs w:val="28"/>
        </w:rPr>
        <w:t>ІЧ спектри виникають при поглинанні ІЧ випромінення на частотах, що збігаються з деякими власними коливальними і обертальними частотами молекул або з частотами коливань кристалічної ґратки. ІЧ спектри отримують за допомогою спектрометрів різних типів, робочий діапазон яких знаходиться в межах так званої фундаментальної ІЧ області (400 см−1 — 4000 см−1).</w:t>
      </w:r>
    </w:p>
    <w:p w14:paraId="02D375B8" w14:textId="0C3A76FB" w:rsidR="00013930" w:rsidRPr="00013930" w:rsidRDefault="00013930" w:rsidP="000139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13930">
        <w:rPr>
          <w:rFonts w:ascii="Times New Roman" w:hAnsi="Times New Roman" w:cs="Times New Roman"/>
          <w:sz w:val="28"/>
          <w:szCs w:val="28"/>
        </w:rPr>
        <w:t>І</w:t>
      </w:r>
      <w:r w:rsidRPr="00013930">
        <w:rPr>
          <w:rFonts w:ascii="Times New Roman" w:hAnsi="Times New Roman" w:cs="Times New Roman"/>
          <w:sz w:val="28"/>
          <w:szCs w:val="28"/>
        </w:rPr>
        <w:t xml:space="preserve">нфрачервона спектроскопія </w:t>
      </w:r>
      <w:r w:rsidRPr="00013930">
        <w:rPr>
          <w:rFonts w:ascii="Times New Roman" w:hAnsi="Times New Roman" w:cs="Times New Roman"/>
          <w:sz w:val="28"/>
          <w:szCs w:val="28"/>
        </w:rPr>
        <w:t>належить до абсорбційних спектроскопічних методів. Базується на здатності молекул поглинати ІЧ-випромінювання із збільшенням коливальної і обертальної енергій ковалентного зв’язку.</w:t>
      </w:r>
    </w:p>
    <w:p w14:paraId="0557C167" w14:textId="77777777" w:rsidR="00013930" w:rsidRPr="00013930" w:rsidRDefault="00013930" w:rsidP="000139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A350AF" w14:textId="39F339AD" w:rsidR="00013930" w:rsidRPr="00013930" w:rsidRDefault="00013930" w:rsidP="000139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13930">
        <w:rPr>
          <w:rFonts w:ascii="Times New Roman" w:hAnsi="Times New Roman" w:cs="Times New Roman"/>
          <w:sz w:val="28"/>
          <w:szCs w:val="28"/>
        </w:rPr>
        <w:t xml:space="preserve">ІЧ-ділянка спектра знаходиться приблизно від 0,8 до 200 </w:t>
      </w:r>
      <w:proofErr w:type="spellStart"/>
      <w:r w:rsidRPr="00013930">
        <w:rPr>
          <w:rFonts w:ascii="Times New Roman" w:hAnsi="Times New Roman" w:cs="Times New Roman"/>
          <w:sz w:val="28"/>
          <w:szCs w:val="28"/>
        </w:rPr>
        <w:t>мкм</w:t>
      </w:r>
      <w:proofErr w:type="spellEnd"/>
      <w:r w:rsidRPr="00013930">
        <w:rPr>
          <w:rFonts w:ascii="Times New Roman" w:hAnsi="Times New Roman" w:cs="Times New Roman"/>
          <w:sz w:val="28"/>
          <w:szCs w:val="28"/>
        </w:rPr>
        <w:t xml:space="preserve"> (довжини хвиль) або від 12 000 до 50,00 см–1 (хвильові числа). Цю ділянку можна розбити на декілька більш дрібних інтервалів відповідно до різних типів коливань, що мають місце, і відповідно до апаратури для їх спостереження.</w:t>
      </w:r>
    </w:p>
    <w:p w14:paraId="24178C82" w14:textId="42F8680E" w:rsidR="00013930" w:rsidRPr="00013930" w:rsidRDefault="00013930" w:rsidP="000139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13930">
        <w:rPr>
          <w:rFonts w:ascii="Times New Roman" w:hAnsi="Times New Roman" w:cs="Times New Roman"/>
          <w:sz w:val="28"/>
          <w:szCs w:val="28"/>
        </w:rPr>
        <w:t xml:space="preserve">Довжинам хвиль від 0,7 до 2,5 </w:t>
      </w:r>
      <w:proofErr w:type="spellStart"/>
      <w:r w:rsidRPr="00013930">
        <w:rPr>
          <w:rFonts w:ascii="Times New Roman" w:hAnsi="Times New Roman" w:cs="Times New Roman"/>
          <w:sz w:val="28"/>
          <w:szCs w:val="28"/>
        </w:rPr>
        <w:t>мкм</w:t>
      </w:r>
      <w:proofErr w:type="spellEnd"/>
      <w:r w:rsidRPr="00013930">
        <w:rPr>
          <w:rFonts w:ascii="Times New Roman" w:hAnsi="Times New Roman" w:cs="Times New Roman"/>
          <w:sz w:val="28"/>
          <w:szCs w:val="28"/>
        </w:rPr>
        <w:t xml:space="preserve"> відповідають валентні коливання між атомами Гідрогену та іншими атомами. Фундаментальні коливання відмічають між 2,5 і 50 </w:t>
      </w:r>
      <w:proofErr w:type="spellStart"/>
      <w:r w:rsidRPr="00013930">
        <w:rPr>
          <w:rFonts w:ascii="Times New Roman" w:hAnsi="Times New Roman" w:cs="Times New Roman"/>
          <w:sz w:val="28"/>
          <w:szCs w:val="28"/>
        </w:rPr>
        <w:t>мкм</w:t>
      </w:r>
      <w:proofErr w:type="spellEnd"/>
      <w:r w:rsidRPr="00013930">
        <w:rPr>
          <w:rFonts w:ascii="Times New Roman" w:hAnsi="Times New Roman" w:cs="Times New Roman"/>
          <w:sz w:val="28"/>
          <w:szCs w:val="28"/>
        </w:rPr>
        <w:t xml:space="preserve">. Спектри поглинання у цій ділянці характерні для окремих часток, особливо </w:t>
      </w:r>
      <w:proofErr w:type="spellStart"/>
      <w:r w:rsidRPr="00013930">
        <w:rPr>
          <w:rFonts w:ascii="Times New Roman" w:hAnsi="Times New Roman" w:cs="Times New Roman"/>
          <w:sz w:val="28"/>
          <w:szCs w:val="28"/>
        </w:rPr>
        <w:t>інтенсивно</w:t>
      </w:r>
      <w:proofErr w:type="spellEnd"/>
      <w:r w:rsidRPr="00013930">
        <w:rPr>
          <w:rFonts w:ascii="Times New Roman" w:hAnsi="Times New Roman" w:cs="Times New Roman"/>
          <w:sz w:val="28"/>
          <w:szCs w:val="28"/>
        </w:rPr>
        <w:t xml:space="preserve"> використовують інтервал 2,5–15 </w:t>
      </w:r>
      <w:proofErr w:type="spellStart"/>
      <w:r w:rsidRPr="00013930">
        <w:rPr>
          <w:rFonts w:ascii="Times New Roman" w:hAnsi="Times New Roman" w:cs="Times New Roman"/>
          <w:sz w:val="28"/>
          <w:szCs w:val="28"/>
        </w:rPr>
        <w:t>мкм</w:t>
      </w:r>
      <w:proofErr w:type="spellEnd"/>
      <w:r w:rsidRPr="00013930">
        <w:rPr>
          <w:rFonts w:ascii="Times New Roman" w:hAnsi="Times New Roman" w:cs="Times New Roman"/>
          <w:sz w:val="28"/>
          <w:szCs w:val="28"/>
        </w:rPr>
        <w:t xml:space="preserve">, де з’являється велика кількість піків поглинання функціональних груп. Смуги поглинання в інтервалі 15–50 </w:t>
      </w:r>
      <w:proofErr w:type="spellStart"/>
      <w:r w:rsidRPr="00013930">
        <w:rPr>
          <w:rFonts w:ascii="Times New Roman" w:hAnsi="Times New Roman" w:cs="Times New Roman"/>
          <w:sz w:val="28"/>
          <w:szCs w:val="28"/>
        </w:rPr>
        <w:t>мкм</w:t>
      </w:r>
      <w:proofErr w:type="spellEnd"/>
      <w:r w:rsidRPr="00013930">
        <w:rPr>
          <w:rFonts w:ascii="Times New Roman" w:hAnsi="Times New Roman" w:cs="Times New Roman"/>
          <w:sz w:val="28"/>
          <w:szCs w:val="28"/>
        </w:rPr>
        <w:t xml:space="preserve"> відповідають деформаційним коливанням важких атомів і груп атомів. Поглинання у далекій ІЧ-ділянці відповідає НЧ-коливанням та обертанням і аналітично широко не застосовуються.</w:t>
      </w:r>
    </w:p>
    <w:p w14:paraId="0370CF49" w14:textId="3A7E3AB5" w:rsidR="00013930" w:rsidRDefault="00013930" w:rsidP="000139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13930">
        <w:rPr>
          <w:rFonts w:ascii="Times New Roman" w:hAnsi="Times New Roman" w:cs="Times New Roman"/>
          <w:sz w:val="28"/>
          <w:szCs w:val="28"/>
        </w:rPr>
        <w:t xml:space="preserve">ІЧ-спектри представляють двома способами: по осі ординат відкладають пропускання у відсотках, а вісь абсцис може бути калібрована у </w:t>
      </w:r>
      <w:proofErr w:type="spellStart"/>
      <w:r w:rsidRPr="00013930">
        <w:rPr>
          <w:rFonts w:ascii="Times New Roman" w:hAnsi="Times New Roman" w:cs="Times New Roman"/>
          <w:sz w:val="28"/>
          <w:szCs w:val="28"/>
        </w:rPr>
        <w:t>мкм</w:t>
      </w:r>
      <w:proofErr w:type="spellEnd"/>
      <w:r w:rsidRPr="00013930">
        <w:rPr>
          <w:rFonts w:ascii="Times New Roman" w:hAnsi="Times New Roman" w:cs="Times New Roman"/>
          <w:sz w:val="28"/>
          <w:szCs w:val="28"/>
        </w:rPr>
        <w:t xml:space="preserve"> (довжини хвиль) або см–1 (хвильові числа) залежно від вибору апаратури для реєстрації спектрів. ІЧ-спектри служать джерелом інформації про структуру молекулярних </w:t>
      </w:r>
      <w:proofErr w:type="spellStart"/>
      <w:r w:rsidRPr="00013930">
        <w:rPr>
          <w:rFonts w:ascii="Times New Roman" w:hAnsi="Times New Roman" w:cs="Times New Roman"/>
          <w:sz w:val="28"/>
          <w:szCs w:val="28"/>
        </w:rPr>
        <w:t>сполук</w:t>
      </w:r>
      <w:proofErr w:type="spellEnd"/>
      <w:r w:rsidRPr="00013930">
        <w:rPr>
          <w:rFonts w:ascii="Times New Roman" w:hAnsi="Times New Roman" w:cs="Times New Roman"/>
          <w:sz w:val="28"/>
          <w:szCs w:val="28"/>
        </w:rPr>
        <w:t xml:space="preserve"> і широко застосовуються для ідентифікації органічних речовин.</w:t>
      </w:r>
    </w:p>
    <w:p w14:paraId="673017C2" w14:textId="73BFD37F" w:rsidR="00013930" w:rsidRPr="00013930" w:rsidRDefault="004833DA" w:rsidP="000139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13930" w:rsidRPr="00013930">
        <w:rPr>
          <w:rFonts w:ascii="Times New Roman" w:hAnsi="Times New Roman" w:cs="Times New Roman"/>
          <w:sz w:val="28"/>
          <w:szCs w:val="28"/>
        </w:rPr>
        <w:t>Інфрачервона спектроскопія із хвильовими числами менше 100 см</w:t>
      </w:r>
      <w:r w:rsidR="00013930" w:rsidRPr="0001393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013930" w:rsidRPr="00013930">
        <w:rPr>
          <w:rFonts w:ascii="Times New Roman" w:hAnsi="Times New Roman" w:cs="Times New Roman"/>
          <w:sz w:val="28"/>
          <w:szCs w:val="28"/>
        </w:rPr>
        <w:t xml:space="preserve"> при поглинанні органічною молекулою перетворюється на енергію обертання. Поглинання є </w:t>
      </w:r>
      <w:proofErr w:type="spellStart"/>
      <w:r w:rsidR="00013930" w:rsidRPr="00013930">
        <w:rPr>
          <w:rFonts w:ascii="Times New Roman" w:hAnsi="Times New Roman" w:cs="Times New Roman"/>
          <w:sz w:val="28"/>
          <w:szCs w:val="28"/>
        </w:rPr>
        <w:t>квантованим</w:t>
      </w:r>
      <w:proofErr w:type="spellEnd"/>
      <w:r w:rsidR="00013930" w:rsidRPr="00013930">
        <w:rPr>
          <w:rFonts w:ascii="Times New Roman" w:hAnsi="Times New Roman" w:cs="Times New Roman"/>
          <w:sz w:val="28"/>
          <w:szCs w:val="28"/>
        </w:rPr>
        <w:t>, тому обертальний спектр молекул складається із дискретних ліній.</w:t>
      </w:r>
    </w:p>
    <w:p w14:paraId="105F733E" w14:textId="314F8655" w:rsidR="004833DA" w:rsidRDefault="004833DA" w:rsidP="000139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13930" w:rsidRPr="00013930">
        <w:rPr>
          <w:rFonts w:ascii="Times New Roman" w:hAnsi="Times New Roman" w:cs="Times New Roman"/>
          <w:sz w:val="28"/>
          <w:szCs w:val="28"/>
        </w:rPr>
        <w:t>Випромінювання в інтервалі 10</w:t>
      </w:r>
      <w:r>
        <w:rPr>
          <w:rFonts w:ascii="Times New Roman" w:hAnsi="Times New Roman" w:cs="Times New Roman"/>
          <w:sz w:val="28"/>
          <w:szCs w:val="28"/>
        </w:rPr>
        <w:t> </w:t>
      </w:r>
      <w:r w:rsidR="00013930" w:rsidRPr="00013930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-</w:t>
      </w:r>
      <w:r w:rsidR="00013930" w:rsidRPr="00013930">
        <w:rPr>
          <w:rFonts w:ascii="Times New Roman" w:hAnsi="Times New Roman" w:cs="Times New Roman"/>
          <w:sz w:val="28"/>
          <w:szCs w:val="28"/>
        </w:rPr>
        <w:t>100 см</w:t>
      </w:r>
      <w:r w:rsidR="00013930" w:rsidRPr="0001393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930" w:rsidRPr="00013930">
        <w:rPr>
          <w:rFonts w:ascii="Times New Roman" w:hAnsi="Times New Roman" w:cs="Times New Roman"/>
          <w:sz w:val="28"/>
          <w:szCs w:val="28"/>
        </w:rPr>
        <w:t xml:space="preserve">при поглинанні перетворюється органічною молекулою на енергію коливань. Це поглинання також </w:t>
      </w:r>
      <w:proofErr w:type="spellStart"/>
      <w:r w:rsidR="00013930" w:rsidRPr="00013930">
        <w:rPr>
          <w:rFonts w:ascii="Times New Roman" w:hAnsi="Times New Roman" w:cs="Times New Roman"/>
          <w:sz w:val="28"/>
          <w:szCs w:val="28"/>
        </w:rPr>
        <w:t>квантоване</w:t>
      </w:r>
      <w:proofErr w:type="spellEnd"/>
      <w:r w:rsidR="00013930" w:rsidRPr="00013930">
        <w:rPr>
          <w:rFonts w:ascii="Times New Roman" w:hAnsi="Times New Roman" w:cs="Times New Roman"/>
          <w:sz w:val="28"/>
          <w:szCs w:val="28"/>
        </w:rPr>
        <w:t>, але коливальний спектр складається не з ліній, а зі смуг, оскільки кожний коливальний перехід супроводжується змінами обертальних станів.</w:t>
      </w:r>
    </w:p>
    <w:p w14:paraId="65688E6F" w14:textId="314AC12C" w:rsidR="00013930" w:rsidRPr="00013930" w:rsidRDefault="004833DA" w:rsidP="000139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13930" w:rsidRPr="00013930">
        <w:rPr>
          <w:rFonts w:ascii="Times New Roman" w:hAnsi="Times New Roman" w:cs="Times New Roman"/>
          <w:sz w:val="28"/>
          <w:szCs w:val="28"/>
        </w:rPr>
        <w:t>Поглинання смуг у спектрах позначається через хвильові числа </w:t>
      </w:r>
      <w:r w:rsidRPr="004833DA">
        <w:drawing>
          <wp:inline distT="0" distB="0" distL="0" distR="0" wp14:anchorId="19186C8A" wp14:editId="3B7769D5">
            <wp:extent cx="144780" cy="15684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488" cy="15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930" w:rsidRPr="00013930">
        <w:rPr>
          <w:rFonts w:ascii="Tahoma" w:hAnsi="Tahoma" w:cs="Tahoma"/>
          <w:vanish/>
          <w:sz w:val="28"/>
          <w:szCs w:val="28"/>
        </w:rPr>
        <w:t>�</w:t>
      </w:r>
      <w:r w:rsidR="00013930" w:rsidRPr="00013930">
        <w:rPr>
          <w:rFonts w:ascii="Times New Roman" w:hAnsi="Times New Roman" w:cs="Times New Roman"/>
          <w:vanish/>
          <w:sz w:val="28"/>
          <w:szCs w:val="28"/>
        </w:rPr>
        <w:t>¯</w:t>
      </w:r>
      <w:r w:rsidR="00013930" w:rsidRPr="00013930">
        <w:rPr>
          <w:rFonts w:ascii="Times New Roman" w:hAnsi="Times New Roman" w:cs="Times New Roman"/>
          <w:sz w:val="28"/>
          <w:szCs w:val="28"/>
        </w:rPr>
        <w:t>, які вимірюють у зворотних сантиметрах см</w:t>
      </w:r>
      <w:r w:rsidR="00013930" w:rsidRPr="0001393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013930" w:rsidRPr="00013930">
        <w:rPr>
          <w:rFonts w:ascii="Times New Roman" w:hAnsi="Times New Roman" w:cs="Times New Roman"/>
          <w:sz w:val="28"/>
          <w:szCs w:val="28"/>
        </w:rPr>
        <w:t>; ця одиниця є прямо пропорційною енергії коливання, а шкали спектрометрів є лінійними відносно см</w:t>
      </w:r>
      <w:r w:rsidR="00013930" w:rsidRPr="0001393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013930" w:rsidRPr="00013930">
        <w:rPr>
          <w:rFonts w:ascii="Times New Roman" w:hAnsi="Times New Roman" w:cs="Times New Roman"/>
          <w:sz w:val="28"/>
          <w:szCs w:val="28"/>
        </w:rPr>
        <w:t>. Хвильові числа також називають "частотами". Це неправильно, оскільки хвильові числа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0F1E30" wp14:editId="56BC5491">
            <wp:extent cx="146050" cy="1587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13930" w:rsidRPr="00013930">
        <w:rPr>
          <w:rFonts w:ascii="Tahoma" w:hAnsi="Tahoma" w:cs="Tahoma"/>
          <w:vanish/>
          <w:sz w:val="28"/>
          <w:szCs w:val="28"/>
        </w:rPr>
        <w:t>�</w:t>
      </w:r>
      <w:r w:rsidR="00013930" w:rsidRPr="00013930">
        <w:rPr>
          <w:rFonts w:ascii="Times New Roman" w:hAnsi="Times New Roman" w:cs="Times New Roman"/>
          <w:vanish/>
          <w:sz w:val="28"/>
          <w:szCs w:val="28"/>
        </w:rPr>
        <w:t>¯</w:t>
      </w:r>
      <w:r w:rsidR="00013930" w:rsidRPr="00013930">
        <w:rPr>
          <w:rFonts w:ascii="Times New Roman" w:hAnsi="Times New Roman" w:cs="Times New Roman"/>
          <w:sz w:val="28"/>
          <w:szCs w:val="28"/>
        </w:rPr>
        <w:t> у см</w:t>
      </w:r>
      <w:r w:rsidR="00013930" w:rsidRPr="0001393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013930" w:rsidRPr="00013930">
        <w:rPr>
          <w:rFonts w:ascii="Times New Roman" w:hAnsi="Times New Roman" w:cs="Times New Roman"/>
          <w:sz w:val="28"/>
          <w:szCs w:val="28"/>
        </w:rPr>
        <w:t> дорівнюють </w:t>
      </w:r>
      <w:r w:rsidRPr="004833DA">
        <w:drawing>
          <wp:inline distT="0" distB="0" distL="0" distR="0" wp14:anchorId="49F8EB50" wp14:editId="6D682D22">
            <wp:extent cx="604910" cy="182880"/>
            <wp:effectExtent l="0" t="0" r="508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40" cy="20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930" w:rsidRPr="00013930">
        <w:rPr>
          <w:rFonts w:ascii="Times New Roman" w:hAnsi="Times New Roman" w:cs="Times New Roman"/>
          <w:vanish/>
          <w:sz w:val="28"/>
          <w:szCs w:val="28"/>
        </w:rPr>
        <w:t>1</w:t>
      </w:r>
      <w:r w:rsidR="00013930" w:rsidRPr="00013930">
        <w:rPr>
          <w:rFonts w:ascii="Cambria Math" w:hAnsi="Cambria Math" w:cs="Cambria Math"/>
          <w:vanish/>
          <w:sz w:val="28"/>
          <w:szCs w:val="28"/>
        </w:rPr>
        <w:t>⋅</w:t>
      </w:r>
      <w:r w:rsidR="00013930" w:rsidRPr="00013930">
        <w:rPr>
          <w:rFonts w:ascii="Times New Roman" w:hAnsi="Times New Roman" w:cs="Times New Roman"/>
          <w:vanish/>
          <w:sz w:val="28"/>
          <w:szCs w:val="28"/>
        </w:rPr>
        <w:t>104/</w:t>
      </w:r>
      <w:r w:rsidR="00013930" w:rsidRPr="00013930">
        <w:rPr>
          <w:rFonts w:ascii="Tahoma" w:hAnsi="Tahoma" w:cs="Tahoma"/>
          <w:vanish/>
          <w:sz w:val="28"/>
          <w:szCs w:val="28"/>
        </w:rPr>
        <w:t>�</w:t>
      </w:r>
      <w:r w:rsidR="00013930" w:rsidRPr="00013930">
        <w:rPr>
          <w:rFonts w:ascii="Times New Roman" w:hAnsi="Times New Roman" w:cs="Times New Roman"/>
          <w:sz w:val="28"/>
          <w:szCs w:val="28"/>
        </w:rPr>
        <w:t xml:space="preserve"> у </w:t>
      </w:r>
      <w:proofErr w:type="spellStart"/>
      <w:r w:rsidR="00013930" w:rsidRPr="00013930">
        <w:rPr>
          <w:rFonts w:ascii="Times New Roman" w:hAnsi="Times New Roman" w:cs="Times New Roman"/>
          <w:sz w:val="28"/>
          <w:szCs w:val="28"/>
        </w:rPr>
        <w:t>мкм</w:t>
      </w:r>
      <w:proofErr w:type="spellEnd"/>
      <w:r w:rsidR="00013930" w:rsidRPr="00013930">
        <w:rPr>
          <w:rFonts w:ascii="Times New Roman" w:hAnsi="Times New Roman" w:cs="Times New Roman"/>
          <w:sz w:val="28"/>
          <w:szCs w:val="28"/>
        </w:rPr>
        <w:t>, а частоти </w:t>
      </w:r>
      <w:r w:rsidRPr="004833DA">
        <w:drawing>
          <wp:inline distT="0" distB="0" distL="0" distR="0" wp14:anchorId="263A7A36" wp14:editId="05CBE922">
            <wp:extent cx="189865" cy="17526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930" w:rsidRPr="00013930">
        <w:rPr>
          <w:rFonts w:ascii="Tahoma" w:hAnsi="Tahoma" w:cs="Tahoma"/>
          <w:vanish/>
          <w:sz w:val="28"/>
          <w:szCs w:val="28"/>
        </w:rPr>
        <w:t>�</w:t>
      </w:r>
      <w:r w:rsidR="00013930" w:rsidRPr="00013930">
        <w:rPr>
          <w:rFonts w:ascii="Times New Roman" w:hAnsi="Times New Roman" w:cs="Times New Roman"/>
          <w:sz w:val="28"/>
          <w:szCs w:val="28"/>
        </w:rPr>
        <w:t xml:space="preserve"> у </w:t>
      </w:r>
      <w:proofErr w:type="spellStart"/>
      <w:r w:rsidR="00013930" w:rsidRPr="00013930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="00013930" w:rsidRPr="00013930">
        <w:rPr>
          <w:rFonts w:ascii="Times New Roman" w:hAnsi="Times New Roman" w:cs="Times New Roman"/>
          <w:sz w:val="28"/>
          <w:szCs w:val="28"/>
        </w:rPr>
        <w:t xml:space="preserve"> дорівнюють </w:t>
      </w:r>
      <w:r w:rsidR="00013930" w:rsidRPr="00013930">
        <w:rPr>
          <w:rFonts w:ascii="Tahoma" w:hAnsi="Tahoma" w:cs="Tahoma"/>
          <w:vanish/>
          <w:sz w:val="28"/>
          <w:szCs w:val="28"/>
        </w:rPr>
        <w:t>�</w:t>
      </w:r>
      <w:r w:rsidR="00013930" w:rsidRPr="00013930">
        <w:rPr>
          <w:rFonts w:ascii="Times New Roman" w:hAnsi="Times New Roman" w:cs="Times New Roman"/>
          <w:vanish/>
          <w:sz w:val="28"/>
          <w:szCs w:val="28"/>
        </w:rPr>
        <w:t>/</w:t>
      </w:r>
      <w:r w:rsidR="00013930" w:rsidRPr="00013930">
        <w:rPr>
          <w:rFonts w:ascii="Tahoma" w:hAnsi="Tahoma" w:cs="Tahoma"/>
          <w:vanish/>
          <w:sz w:val="28"/>
          <w:szCs w:val="28"/>
        </w:rPr>
        <w:t>�</w:t>
      </w:r>
      <w:r w:rsidR="00013930" w:rsidRPr="00013930">
        <w:rPr>
          <w:rFonts w:ascii="Times New Roman" w:hAnsi="Times New Roman" w:cs="Times New Roman"/>
          <w:sz w:val="28"/>
          <w:szCs w:val="28"/>
        </w:rPr>
        <w:t> </w:t>
      </w:r>
      <w:r w:rsidR="00D82F24" w:rsidRPr="00D82F24">
        <w:drawing>
          <wp:inline distT="0" distB="0" distL="0" distR="0" wp14:anchorId="388930D9" wp14:editId="48B0983C">
            <wp:extent cx="350520" cy="206864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155" cy="21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930" w:rsidRPr="00013930">
        <w:rPr>
          <w:rFonts w:ascii="Times New Roman" w:hAnsi="Times New Roman" w:cs="Times New Roman"/>
          <w:sz w:val="28"/>
          <w:szCs w:val="28"/>
        </w:rPr>
        <w:t>у см, де </w:t>
      </w:r>
      <w:r w:rsidR="00013930" w:rsidRPr="00013930">
        <w:rPr>
          <w:rFonts w:ascii="Tahoma" w:hAnsi="Tahoma" w:cs="Tahoma"/>
          <w:vanish/>
          <w:sz w:val="28"/>
          <w:szCs w:val="28"/>
        </w:rPr>
        <w:t>�</w:t>
      </w:r>
      <w:r w:rsidR="00013930" w:rsidRPr="00013930">
        <w:rPr>
          <w:rFonts w:ascii="Times New Roman" w:hAnsi="Times New Roman" w:cs="Times New Roman"/>
          <w:sz w:val="28"/>
          <w:szCs w:val="28"/>
        </w:rPr>
        <w:t xml:space="preserve"> - </w:t>
      </w:r>
      <w:r w:rsidR="00D82F24" w:rsidRPr="00D82F24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D82F24" w:rsidRPr="00D82F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3930" w:rsidRPr="00013930">
        <w:rPr>
          <w:rFonts w:ascii="Times New Roman" w:hAnsi="Times New Roman" w:cs="Times New Roman"/>
          <w:sz w:val="28"/>
          <w:szCs w:val="28"/>
        </w:rPr>
        <w:t>швидкість світла.</w:t>
      </w:r>
    </w:p>
    <w:p w14:paraId="772D2E7C" w14:textId="5D01AA25" w:rsidR="00013930" w:rsidRPr="00013930" w:rsidRDefault="004833DA" w:rsidP="000139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13930" w:rsidRPr="00013930">
        <w:rPr>
          <w:rFonts w:ascii="Times New Roman" w:hAnsi="Times New Roman" w:cs="Times New Roman"/>
          <w:sz w:val="28"/>
          <w:szCs w:val="28"/>
        </w:rPr>
        <w:t>ІЧ-спектроскопія базується на явищі поглинання хімічними речовинами інфрачервоного випромінювання з одночасним збудженням коливань молекул. Інфрачервоне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013930" w:rsidRPr="00013930">
        <w:rPr>
          <w:rFonts w:ascii="Times New Roman" w:hAnsi="Times New Roman" w:cs="Times New Roman"/>
          <w:sz w:val="28"/>
          <w:szCs w:val="28"/>
        </w:rPr>
        <w:t>ипромінювання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930" w:rsidRPr="00013930">
        <w:rPr>
          <w:rFonts w:ascii="Times New Roman" w:hAnsi="Times New Roman" w:cs="Times New Roman"/>
          <w:sz w:val="28"/>
          <w:szCs w:val="28"/>
        </w:rPr>
        <w:t>є </w:t>
      </w:r>
      <w:hyperlink r:id="rId10" w:tooltip="Електромагнітне випромінювання" w:history="1">
        <w:r w:rsidR="00013930" w:rsidRPr="0001393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електромагнітною</w:t>
        </w:r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="00013930" w:rsidRPr="0001393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хвилею</w:t>
        </w:r>
      </w:hyperlink>
      <w:r w:rsidR="00013930" w:rsidRPr="00013930">
        <w:rPr>
          <w:rFonts w:ascii="Times New Roman" w:hAnsi="Times New Roman" w:cs="Times New Roman"/>
          <w:sz w:val="28"/>
          <w:szCs w:val="28"/>
        </w:rPr>
        <w:t> 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930" w:rsidRPr="00013930">
        <w:rPr>
          <w:rFonts w:ascii="Times New Roman" w:hAnsi="Times New Roman" w:cs="Times New Roman"/>
          <w:sz w:val="28"/>
          <w:szCs w:val="28"/>
        </w:rPr>
        <w:t>характеризується </w:t>
      </w:r>
      <w:hyperlink r:id="rId11" w:tooltip="Довжина хвилі" w:history="1">
        <w:r w:rsidR="00013930" w:rsidRPr="0001393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довжиною хвилі</w:t>
        </w:r>
      </w:hyperlink>
      <w:r w:rsidR="00013930" w:rsidRPr="00013930">
        <w:rPr>
          <w:rFonts w:ascii="Times New Roman" w:hAnsi="Times New Roman" w:cs="Times New Roman"/>
          <w:sz w:val="28"/>
          <w:szCs w:val="28"/>
        </w:rPr>
        <w:t> λ, </w:t>
      </w:r>
      <w:hyperlink r:id="rId12" w:tooltip="Частота" w:history="1">
        <w:r w:rsidR="00013930" w:rsidRPr="0001393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частотою</w:t>
        </w:r>
      </w:hyperlink>
      <w:r w:rsidR="00013930" w:rsidRPr="00013930">
        <w:rPr>
          <w:rFonts w:ascii="Times New Roman" w:hAnsi="Times New Roman" w:cs="Times New Roman"/>
          <w:sz w:val="28"/>
          <w:szCs w:val="28"/>
        </w:rPr>
        <w:t> ν і хвильовим числом</w:t>
      </w:r>
      <w:r w:rsidR="00F10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02F9" w:rsidRPr="00F102F9">
        <w:drawing>
          <wp:inline distT="0" distB="0" distL="0" distR="0" wp14:anchorId="23E92DF3" wp14:editId="76061B18">
            <wp:extent cx="155344" cy="1485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068" cy="15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930" w:rsidRPr="00013930">
        <w:rPr>
          <w:rFonts w:ascii="Tahoma" w:hAnsi="Tahoma" w:cs="Tahoma"/>
          <w:vanish/>
          <w:sz w:val="28"/>
          <w:szCs w:val="28"/>
        </w:rPr>
        <w:t>�</w:t>
      </w:r>
      <w:r w:rsidR="00013930" w:rsidRPr="000139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930" w:rsidRPr="00013930">
        <w:rPr>
          <w:rFonts w:ascii="Times New Roman" w:hAnsi="Times New Roman" w:cs="Times New Roman"/>
          <w:sz w:val="28"/>
          <w:szCs w:val="28"/>
        </w:rPr>
        <w:t>які пов'язані такою залежністю:</w:t>
      </w:r>
    </w:p>
    <w:p w14:paraId="179F10EA" w14:textId="77777777" w:rsidR="00013930" w:rsidRDefault="00013930" w:rsidP="000139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86C5DA" w14:textId="54006D93" w:rsidR="00A531B4" w:rsidRDefault="00F102F9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02F9">
        <w:drawing>
          <wp:inline distT="0" distB="0" distL="0" distR="0" wp14:anchorId="00755E8F" wp14:editId="3837E95D">
            <wp:extent cx="1455420" cy="5989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9587" cy="6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839C" w14:textId="28653829" w:rsidR="00F102F9" w:rsidRDefault="00F102F9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283670" w14:textId="77BD53B5" w:rsidR="00F102F9" w:rsidRDefault="00F102F9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8C9A1C" w14:textId="0E9D07A2" w:rsidR="00F102F9" w:rsidRPr="00F102F9" w:rsidRDefault="00F102F9" w:rsidP="00F102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102F9">
        <w:rPr>
          <w:rFonts w:ascii="Times New Roman" w:hAnsi="Times New Roman" w:cs="Times New Roman"/>
          <w:sz w:val="28"/>
          <w:szCs w:val="28"/>
        </w:rPr>
        <w:lastRenderedPageBreak/>
        <w:t xml:space="preserve">де c — швидкість світла, а </w:t>
      </w:r>
      <w:r w:rsidRPr="00F102F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102F9">
        <w:rPr>
          <w:rFonts w:ascii="Times New Roman" w:hAnsi="Times New Roman" w:cs="Times New Roman"/>
          <w:sz w:val="28"/>
          <w:szCs w:val="28"/>
        </w:rPr>
        <w:t xml:space="preserve"> — показник заломлення середовища.</w:t>
      </w:r>
    </w:p>
    <w:p w14:paraId="35412B9C" w14:textId="1710C28F" w:rsidR="00F102F9" w:rsidRDefault="00F102F9" w:rsidP="00F102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102F9">
        <w:rPr>
          <w:rFonts w:ascii="Times New Roman" w:hAnsi="Times New Roman" w:cs="Times New Roman"/>
          <w:sz w:val="28"/>
          <w:szCs w:val="28"/>
        </w:rPr>
        <w:t>У спектроскопії поглинання, частковим випадком якої є ІЧ-спектроскопія, відбувається поглинання молекулами фотонів певної енергії, яка пов'язана з частотою електромагнітної хвилі через сталу Планка:</w:t>
      </w:r>
    </w:p>
    <w:p w14:paraId="54CFBFA0" w14:textId="77777777" w:rsidR="00F102F9" w:rsidRDefault="00F102F9" w:rsidP="00F102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332DED" w14:textId="4DD5959A" w:rsidR="00F102F9" w:rsidRDefault="00F102F9" w:rsidP="00F102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02F9">
        <w:drawing>
          <wp:inline distT="0" distB="0" distL="0" distR="0" wp14:anchorId="3176E910" wp14:editId="3E2934A6">
            <wp:extent cx="716280" cy="238760"/>
            <wp:effectExtent l="0" t="0" r="762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11DC" w14:textId="70DEBDEC" w:rsidR="00F102F9" w:rsidRDefault="00F102F9" w:rsidP="00F102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28F841" w14:textId="0A35451D" w:rsidR="00F102F9" w:rsidRDefault="00F102F9" w:rsidP="00F102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102F9">
        <w:rPr>
          <w:rFonts w:ascii="Times New Roman" w:hAnsi="Times New Roman" w:cs="Times New Roman"/>
          <w:sz w:val="28"/>
          <w:szCs w:val="28"/>
        </w:rPr>
        <w:t>При поглинанні фотона відбувається збудження — збільшення енергії молекули: вона переходить із основного коливального стану</w:t>
      </w:r>
      <w:r w:rsidRPr="00F102F9">
        <w:rPr>
          <w:rFonts w:ascii="Times New Roman" w:hAnsi="Times New Roman" w:cs="Times New Roman"/>
          <w:sz w:val="28"/>
          <w:szCs w:val="28"/>
        </w:rPr>
        <w:t xml:space="preserve"> </w:t>
      </w:r>
      <w:r w:rsidRPr="00F102F9">
        <w:drawing>
          <wp:inline distT="0" distB="0" distL="0" distR="0" wp14:anchorId="6C82415E" wp14:editId="6BA93FD8">
            <wp:extent cx="183515" cy="193434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226" cy="19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2F9">
        <w:rPr>
          <w:rFonts w:ascii="Times New Roman" w:hAnsi="Times New Roman" w:cs="Times New Roman"/>
          <w:sz w:val="28"/>
          <w:szCs w:val="28"/>
        </w:rPr>
        <w:t xml:space="preserve"> в деякий збуджений коливальний стан </w:t>
      </w:r>
      <w:r w:rsidRPr="00F102F9">
        <w:drawing>
          <wp:inline distT="0" distB="0" distL="0" distR="0" wp14:anchorId="331ED3A8" wp14:editId="0DF494C7">
            <wp:extent cx="205740" cy="19431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59" cy="19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2F9">
        <w:rPr>
          <w:rFonts w:ascii="Times New Roman" w:hAnsi="Times New Roman" w:cs="Times New Roman"/>
          <w:sz w:val="28"/>
          <w:szCs w:val="28"/>
        </w:rPr>
        <w:t xml:space="preserve"> так, що енергетична різниця між цими рівнями дорівнює енергії фотона.</w:t>
      </w:r>
    </w:p>
    <w:p w14:paraId="38A92C86" w14:textId="77777777" w:rsidR="002741D1" w:rsidRDefault="002741D1" w:rsidP="00F102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21A544" w14:textId="3ACFC9D8" w:rsidR="00A531B4" w:rsidRDefault="002741D1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41D1">
        <w:drawing>
          <wp:inline distT="0" distB="0" distL="0" distR="0" wp14:anchorId="7C188BAF" wp14:editId="7A296A15">
            <wp:extent cx="2204085" cy="220409"/>
            <wp:effectExtent l="0" t="0" r="571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5455" cy="27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3B82" w14:textId="21D7A00A" w:rsidR="002741D1" w:rsidRDefault="002741D1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237593" w14:textId="71BFA3E0" w:rsidR="00AF5B1F" w:rsidRDefault="00AF5B1F" w:rsidP="00AF5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F5B1F">
        <w:rPr>
          <w:rFonts w:ascii="Times New Roman" w:hAnsi="Times New Roman" w:cs="Times New Roman"/>
          <w:sz w:val="28"/>
          <w:szCs w:val="28"/>
        </w:rPr>
        <w:t>Енергія поглинутого інфрачервоного випромінювання витрачається на збудження коливальних переходів для речовин у конденсованому стані. Для газів поглинання кванта ІЧ-випромінювання викликає коливальні й обертальні переходи</w:t>
      </w:r>
      <w:bookmarkStart w:id="0" w:name="_GoBack"/>
      <w:bookmarkEnd w:id="0"/>
      <w:r w:rsidRPr="00AF5B1F">
        <w:rPr>
          <w:rFonts w:ascii="Times New Roman" w:hAnsi="Times New Roman" w:cs="Times New Roman"/>
          <w:sz w:val="28"/>
          <w:szCs w:val="28"/>
        </w:rPr>
        <w:t>.</w:t>
      </w:r>
    </w:p>
    <w:p w14:paraId="6C561586" w14:textId="77777777" w:rsidR="002741D1" w:rsidRDefault="002741D1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6C155E" w14:textId="447CAD3C" w:rsidR="00A531B4" w:rsidRDefault="00A531B4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2BF457" w14:textId="77777777" w:rsidR="002741D1" w:rsidRDefault="002741D1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293141" w14:textId="77777777" w:rsidR="002741D1" w:rsidRDefault="002741D1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0EBAD3" w14:textId="45497563" w:rsidR="00A531B4" w:rsidRDefault="00A531B4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CE3016">
        <w:rPr>
          <w:rFonts w:ascii="Times New Roman" w:hAnsi="Times New Roman" w:cs="Times New Roman"/>
          <w:sz w:val="28"/>
          <w:szCs w:val="28"/>
        </w:rPr>
        <w:t>Інтерпретація інфрачервоних спектрів</w:t>
      </w:r>
    </w:p>
    <w:p w14:paraId="0326AD7E" w14:textId="7DDA6FAB" w:rsidR="00A531B4" w:rsidRDefault="00A531B4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FAFC78" w14:textId="1AB4500D" w:rsidR="00A531B4" w:rsidRDefault="00A531B4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6FCF01" w14:textId="6FBF4F66" w:rsidR="00A531B4" w:rsidRDefault="00A531B4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E3016">
        <w:rPr>
          <w:rFonts w:ascii="Times New Roman" w:hAnsi="Times New Roman" w:cs="Times New Roman"/>
          <w:sz w:val="28"/>
          <w:szCs w:val="28"/>
        </w:rPr>
        <w:t>МЕТОДИ МАШИННОГО РОЗПІЗНАВАННЯ</w:t>
      </w:r>
    </w:p>
    <w:p w14:paraId="118D6F61" w14:textId="77777777" w:rsidR="00CE3016" w:rsidRDefault="00CE3016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94A762" w14:textId="77777777" w:rsidR="00CE3016" w:rsidRDefault="00CE3016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83D205" w14:textId="45D568B1" w:rsidR="00A531B4" w:rsidRDefault="00A531B4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CE3016">
        <w:rPr>
          <w:rFonts w:ascii="Times New Roman" w:hAnsi="Times New Roman" w:cs="Times New Roman"/>
          <w:sz w:val="28"/>
          <w:szCs w:val="28"/>
        </w:rPr>
        <w:t>Машинне навчання та його типи</w:t>
      </w:r>
    </w:p>
    <w:p w14:paraId="0966138B" w14:textId="77777777" w:rsidR="00CE3016" w:rsidRDefault="00CE3016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DE2068" w14:textId="77777777" w:rsidR="00CE3016" w:rsidRDefault="00CE3016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3333C2" w14:textId="37C51708" w:rsidR="00CE3016" w:rsidRDefault="00CE3016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Алгоритми розпізнавання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паттернів</w:t>
      </w:r>
      <w:proofErr w:type="spellEnd"/>
    </w:p>
    <w:p w14:paraId="1F116C8B" w14:textId="7A7DD3C7" w:rsidR="00CE3016" w:rsidRDefault="00CE3016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327DD7" w14:textId="3C05C926" w:rsidR="00CE3016" w:rsidRDefault="00CE3016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Застосування машинного розпізнавання в хімії</w:t>
      </w:r>
    </w:p>
    <w:p w14:paraId="51210FFD" w14:textId="7C6F35B2" w:rsidR="00CE3016" w:rsidRDefault="00CE3016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6BF73B" w14:textId="6AB3D2D1" w:rsidR="00CE3016" w:rsidRDefault="00CE3016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AB9B62" w14:textId="5659A42C" w:rsidR="00276D93" w:rsidRDefault="00276D93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МЕТОДОЛОГІЯ ДОСЛІДЖЕННЯ</w:t>
      </w:r>
    </w:p>
    <w:p w14:paraId="47FC1170" w14:textId="285A61CB" w:rsidR="00276D93" w:rsidRDefault="00C33AAE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6677CC" w14:textId="142DF2FB" w:rsidR="00C33AAE" w:rsidRDefault="00C33AAE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Збір та підготовка даних інфрачервоних спектрів</w:t>
      </w:r>
    </w:p>
    <w:p w14:paraId="41CF3BDC" w14:textId="77777777" w:rsidR="00C33AAE" w:rsidRDefault="00C33AAE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CB4391" w14:textId="1CAD5BD4" w:rsidR="00C33AAE" w:rsidRDefault="00C33AAE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Вибір та налаштування алгоритмів машинного розпізнавання</w:t>
      </w:r>
    </w:p>
    <w:p w14:paraId="00899191" w14:textId="77777777" w:rsidR="00C33AAE" w:rsidRDefault="00C33AAE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A8A131" w14:textId="642B5F21" w:rsidR="00C33AAE" w:rsidRDefault="00C33AAE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 Розробка програмного забезпечення для автоматизованої ідентифікації</w:t>
      </w:r>
    </w:p>
    <w:p w14:paraId="6EED69A6" w14:textId="24FAFE64" w:rsidR="00C33AAE" w:rsidRDefault="00C33AAE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FE0A2F" w14:textId="77777777" w:rsidR="00C33AAE" w:rsidRDefault="00C33AAE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C9ED3E" w14:textId="77777777" w:rsidR="00C33AAE" w:rsidRDefault="00C33AAE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EE4AE1" w14:textId="2BBB6531" w:rsidR="00A531B4" w:rsidRDefault="00A531B4" w:rsidP="004B4C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25DF44" w14:textId="77777777" w:rsidR="00A531B4" w:rsidRDefault="00A531B4" w:rsidP="00A531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90D4E8" w14:textId="77777777" w:rsidR="00650E0C" w:rsidRPr="00650E0C" w:rsidRDefault="00650E0C" w:rsidP="00650E0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50E0C" w:rsidRPr="00650E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AB"/>
    <w:rsid w:val="00013930"/>
    <w:rsid w:val="000F346E"/>
    <w:rsid w:val="002741D1"/>
    <w:rsid w:val="00276D93"/>
    <w:rsid w:val="003331B4"/>
    <w:rsid w:val="003A76B1"/>
    <w:rsid w:val="004833DA"/>
    <w:rsid w:val="004B4C5B"/>
    <w:rsid w:val="00650E0C"/>
    <w:rsid w:val="009D214F"/>
    <w:rsid w:val="00A531B4"/>
    <w:rsid w:val="00AF5B1F"/>
    <w:rsid w:val="00C33AAE"/>
    <w:rsid w:val="00CA39AB"/>
    <w:rsid w:val="00CE3016"/>
    <w:rsid w:val="00D82F24"/>
    <w:rsid w:val="00DA14B7"/>
    <w:rsid w:val="00E220DB"/>
    <w:rsid w:val="00EE4239"/>
    <w:rsid w:val="00F1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6339"/>
  <w15:chartTrackingRefBased/>
  <w15:docId w15:val="{78F97B0A-7494-4CAB-8581-03DB3D66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39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3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uk.wikipedia.org/wiki/%D0%A7%D0%B0%D1%81%D1%82%D0%BE%D1%82%D0%B0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uk.wikipedia.org/wiki/%D0%94%D0%BE%D0%B2%D0%B6%D0%B8%D0%BD%D0%B0_%D1%85%D0%B2%D0%B8%D0%BB%D1%96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uk.wikipedia.org/wiki/%D0%95%D0%BB%D0%B5%D0%BA%D1%82%D1%80%D0%BE%D0%BC%D0%B0%D0%B3%D0%BD%D1%96%D1%82%D0%BD%D0%B5_%D0%B2%D0%B8%D0%BF%D1%80%D0%BE%D0%BC%D1%96%D0%BD%D1%8E%D0%B2%D0%B0%D0%BD%D0%BD%D1%8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7EAF9-FA95-4F22-BAFC-E2522E37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4246</Words>
  <Characters>2421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Гаврилюк</dc:creator>
  <cp:keywords/>
  <dc:description/>
  <cp:lastModifiedBy>Вадим Гаврилюк</cp:lastModifiedBy>
  <cp:revision>9</cp:revision>
  <dcterms:created xsi:type="dcterms:W3CDTF">2023-12-22T09:35:00Z</dcterms:created>
  <dcterms:modified xsi:type="dcterms:W3CDTF">2023-12-22T12:14:00Z</dcterms:modified>
</cp:coreProperties>
</file>