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国内爆款短剧排行榜与流行趋势 2026-05-02 日报</w:t>
      </w:r>
    </w:p>
    <w:p>
      <w:r>
        <w:t xml:space="preserve">被总结日期：2026-05-02</w:t>
      </w:r>
    </w:p>
    <w:p>
      <w:r>
        <w:t xml:space="preserve">条数：8</w:t>
      </w:r>
    </w:p>
    <w:p>
      <w:r>
        <w:t xml:space="preserve">1. 公开榜单来源有限：以平台公开动态+行业研究交叉观察</w:t>
      </w:r>
    </w:p>
    <w:p>
      <w:r>
        <w:t xml:space="preserve">2. 免费短剧用户扩张趋势仍在（延续观察）</w:t>
      </w:r>
    </w:p>
    <w:p>
      <w:r>
        <w:t xml:space="preserve">3. 平台治理与版权规范持续强化（延续观察）</w:t>
      </w:r>
    </w:p>
    <w:p>
      <w:r>
        <w:t xml:space="preserve">4. 热门题材继续偏好逆袭/家庭冲突/情感反转</w:t>
      </w:r>
    </w:p>
    <w:p>
      <w:r>
        <w:t xml:space="preserve">5. 热门人设仍围绕强动机女主与隐忍反击男主</w:t>
      </w:r>
    </w:p>
    <w:p>
      <w:r>
        <w:t xml:space="preserve">6. 剧情钩子高频为“前60秒冲突+反转”</w:t>
      </w:r>
    </w:p>
    <w:p>
      <w:r>
        <w:t xml:space="preserve">7. 分账与投流规则升级影响选题策略（延续观察）</w:t>
      </w:r>
    </w:p>
    <w:p>
      <w:r>
        <w:t xml:space="preserve">8. “趋势观察”替代硬排名：避免未核实热度值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国内爆款短剧排行榜与流行趋势 2026-05-02 日报</dc:title>
  <dc:creator>codex-ai-news-workbench</dc:creator>
  <cp:lastModifiedBy>codex-ai-news-workbench</cp:lastModifiedBy>
  <dcterms:created xsi:type="dcterms:W3CDTF">2026-05-03T14:10:00Z</dcterms:created>
  <dcterms:modified xsi:type="dcterms:W3CDTF">2026-05-03T14:10:00Z</dcterms:modified>
</cp:coreProperties>
</file>